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D574C" w:rsidRDefault="00000000">
      <w:pPr>
        <w:spacing w:after="0" w:line="240" w:lineRule="auto"/>
        <w:ind w:left="0" w:hanging="2"/>
        <w:jc w:val="both"/>
        <w:rPr>
          <w:rFonts w:ascii="Arial" w:eastAsia="Arial" w:hAnsi="Arial" w:cs="Arial"/>
        </w:rPr>
      </w:pPr>
      <w:r>
        <w:rPr>
          <w:rFonts w:ascii="Arial" w:eastAsia="Arial" w:hAnsi="Arial" w:cs="Arial"/>
        </w:rPr>
        <w:t>Na temelju članka 32., stavka 1., točke 1.4 i 1.5, članka  38., stavka 1. točke 1.6, 1.8 i 2.3 Zakona o turističkim zajednicama i promicanju hrvatskog turizma (Narodne novine br. 52/2019, 42/2020), članka 12., Statuta Turističke zajednice grada Zagreba (Narodne novine, br.</w:t>
      </w:r>
      <w:r>
        <w:t xml:space="preserve">     </w:t>
      </w:r>
      <w:r>
        <w:rPr>
          <w:rFonts w:ascii="Arial" w:eastAsia="Arial" w:hAnsi="Arial" w:cs="Arial"/>
        </w:rPr>
        <w:t xml:space="preserve"> 127/20 ) i Uredbe Komisije (EU) 1407/13  od 18. prosinca 2013. godine o primjeni članka 107. i 108. Ugovora o funkcioniranju Europske unije na </w:t>
      </w:r>
      <w:r>
        <w:rPr>
          <w:rFonts w:ascii="Arial" w:eastAsia="Arial" w:hAnsi="Arial" w:cs="Arial"/>
          <w:i/>
        </w:rPr>
        <w:t xml:space="preserve">de </w:t>
      </w:r>
      <w:proofErr w:type="spellStart"/>
      <w:r>
        <w:rPr>
          <w:rFonts w:ascii="Arial" w:eastAsia="Arial" w:hAnsi="Arial" w:cs="Arial"/>
          <w:i/>
        </w:rPr>
        <w:t>minimis</w:t>
      </w:r>
      <w:proofErr w:type="spellEnd"/>
      <w:r>
        <w:rPr>
          <w:rFonts w:ascii="Arial" w:eastAsia="Arial" w:hAnsi="Arial" w:cs="Arial"/>
          <w:i/>
        </w:rPr>
        <w:t xml:space="preserve"> </w:t>
      </w:r>
      <w:r>
        <w:rPr>
          <w:rFonts w:ascii="Arial" w:eastAsia="Arial" w:hAnsi="Arial" w:cs="Arial"/>
        </w:rPr>
        <w:t xml:space="preserve">potpore  (SL L 352/1, 24.12.2013.) i Uredbe Komisije (EU) br. 2020/972 od 2. srpnja 2020. o izmjeni Uredbe (EU) br. 1407/2013 u pogledu njezina produljenja i o izmjeni Uredbe (EU) br. 651/2014 u pogledu njezina produljenja i odgovarajućih prilagodbi (SL L 215/3, 7.7.2020.)., Turističko vijeće Turističke zajednice grada Zagreba na svojoj sjednici 11. srpnja 2022. godine donosi </w:t>
      </w:r>
    </w:p>
    <w:p w14:paraId="00000002" w14:textId="77777777" w:rsidR="00DD574C" w:rsidRDefault="00DD574C">
      <w:pPr>
        <w:spacing w:after="0" w:line="240" w:lineRule="auto"/>
        <w:ind w:left="0" w:hanging="2"/>
        <w:jc w:val="both"/>
        <w:rPr>
          <w:rFonts w:ascii="Arial" w:eastAsia="Arial" w:hAnsi="Arial" w:cs="Arial"/>
        </w:rPr>
      </w:pPr>
    </w:p>
    <w:p w14:paraId="00000003" w14:textId="77777777" w:rsidR="00DD574C" w:rsidRDefault="00DD574C">
      <w:pPr>
        <w:spacing w:after="0" w:line="240" w:lineRule="auto"/>
        <w:ind w:left="0" w:hanging="2"/>
        <w:jc w:val="both"/>
        <w:rPr>
          <w:rFonts w:ascii="Arial" w:eastAsia="Arial" w:hAnsi="Arial" w:cs="Arial"/>
        </w:rPr>
      </w:pPr>
    </w:p>
    <w:p w14:paraId="00000004" w14:textId="77777777" w:rsidR="00DD574C" w:rsidRDefault="00000000">
      <w:pPr>
        <w:spacing w:after="0" w:line="240" w:lineRule="auto"/>
        <w:ind w:left="0" w:hanging="2"/>
        <w:jc w:val="center"/>
        <w:rPr>
          <w:rFonts w:ascii="Arial" w:eastAsia="Arial" w:hAnsi="Arial" w:cs="Arial"/>
        </w:rPr>
      </w:pPr>
      <w:r>
        <w:rPr>
          <w:rFonts w:ascii="Arial" w:eastAsia="Arial" w:hAnsi="Arial" w:cs="Arial"/>
          <w:b/>
        </w:rPr>
        <w:t xml:space="preserve">PROGRAM </w:t>
      </w:r>
    </w:p>
    <w:p w14:paraId="00000005" w14:textId="77777777" w:rsidR="00DD574C" w:rsidRDefault="00000000">
      <w:pPr>
        <w:spacing w:after="0" w:line="240" w:lineRule="auto"/>
        <w:ind w:left="0" w:hanging="2"/>
        <w:jc w:val="center"/>
        <w:rPr>
          <w:rFonts w:ascii="Arial" w:eastAsia="Arial" w:hAnsi="Arial" w:cs="Arial"/>
        </w:rPr>
      </w:pPr>
      <w:r>
        <w:rPr>
          <w:rFonts w:ascii="Arial" w:eastAsia="Arial" w:hAnsi="Arial" w:cs="Arial"/>
          <w:b/>
        </w:rPr>
        <w:t xml:space="preserve">DODJELE </w:t>
      </w:r>
      <w:r>
        <w:rPr>
          <w:rFonts w:ascii="Arial" w:eastAsia="Arial" w:hAnsi="Arial" w:cs="Arial"/>
          <w:b/>
          <w:i/>
        </w:rPr>
        <w:t>DE MINIMIS</w:t>
      </w:r>
      <w:r>
        <w:rPr>
          <w:rFonts w:ascii="Arial" w:eastAsia="Arial" w:hAnsi="Arial" w:cs="Arial"/>
          <w:b/>
        </w:rPr>
        <w:t xml:space="preserve"> POTPORA  ZA RAZVOJ TURISTIČKOG PROIZVODA GRADA ZAGREBA U 2023. GODINI</w:t>
      </w:r>
    </w:p>
    <w:p w14:paraId="00000006" w14:textId="77777777" w:rsidR="00DD574C" w:rsidRDefault="00DD574C">
      <w:pPr>
        <w:spacing w:after="0" w:line="240" w:lineRule="auto"/>
        <w:ind w:left="0" w:hanging="2"/>
        <w:jc w:val="center"/>
        <w:rPr>
          <w:rFonts w:ascii="Arial" w:eastAsia="Arial" w:hAnsi="Arial" w:cs="Arial"/>
        </w:rPr>
      </w:pPr>
    </w:p>
    <w:p w14:paraId="00000007" w14:textId="77777777" w:rsidR="00DD574C" w:rsidRDefault="00000000">
      <w:pPr>
        <w:spacing w:after="0" w:line="240" w:lineRule="auto"/>
        <w:ind w:left="0" w:hanging="2"/>
        <w:jc w:val="center"/>
        <w:rPr>
          <w:rFonts w:ascii="Arial" w:eastAsia="Arial" w:hAnsi="Arial" w:cs="Arial"/>
        </w:rPr>
      </w:pPr>
      <w:r>
        <w:rPr>
          <w:rFonts w:ascii="Arial" w:eastAsia="Arial" w:hAnsi="Arial" w:cs="Arial"/>
        </w:rPr>
        <w:t>Članak 1.</w:t>
      </w:r>
    </w:p>
    <w:p w14:paraId="00000008" w14:textId="77777777" w:rsidR="00DD574C" w:rsidRDefault="00000000">
      <w:pPr>
        <w:numPr>
          <w:ilvl w:val="0"/>
          <w:numId w:val="15"/>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Programom dodjele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potpora za razvoj turističkog proizvoda grada Zagreba u 202</w:t>
      </w:r>
      <w:r>
        <w:rPr>
          <w:rFonts w:ascii="Arial" w:eastAsia="Arial" w:hAnsi="Arial" w:cs="Arial"/>
        </w:rPr>
        <w:t>3</w:t>
      </w:r>
      <w:r>
        <w:rPr>
          <w:rFonts w:ascii="Arial" w:eastAsia="Arial" w:hAnsi="Arial" w:cs="Arial"/>
          <w:color w:val="000000"/>
        </w:rPr>
        <w:t xml:space="preserve">. godini (dalje: Program) uređuju se uvjeti, kriteriji i način dodjele potpora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(dalje: potpora), koje dodjeljuje Turistička zajednica grada Zagreba (dalje: TZGZ) za sufinanciranje troškova predviđenih ovim Programom.</w:t>
      </w:r>
    </w:p>
    <w:p w14:paraId="00000009" w14:textId="77777777" w:rsidR="00DD574C" w:rsidRDefault="00000000">
      <w:pPr>
        <w:numPr>
          <w:ilvl w:val="0"/>
          <w:numId w:val="15"/>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Dodjela potpora na temelju ovog Programa je u skladu s odredbama Uredbe Komisije (EU) 1407/13  od 18. prosinca 2013. godine o primjeni članka 107. i 108. Ugovora o funkcioniranju Europske unije na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i/>
          <w:color w:val="000000"/>
        </w:rPr>
        <w:t xml:space="preserve"> </w:t>
      </w:r>
      <w:r>
        <w:rPr>
          <w:rFonts w:ascii="Arial" w:eastAsia="Arial" w:hAnsi="Arial" w:cs="Arial"/>
          <w:color w:val="000000"/>
        </w:rPr>
        <w:t>potpore .) i Uredbe Komisije (EU) br. 2020/972 od 2. srpnja 2020. o izmjeni Uredbe (EU) br. 1407/2013 u pogledu njezina produljenja i o izmjeni Uredbe (EU) br. 651/2014 u pogledu njezina produljenja i odgovarajućih prilagodbi (SL L 215/3, 7.7.2020.) (dalje: Uredba Komisije 1407/2013).</w:t>
      </w:r>
    </w:p>
    <w:p w14:paraId="0000000A" w14:textId="77777777" w:rsidR="00DD574C" w:rsidRDefault="00000000">
      <w:pPr>
        <w:numPr>
          <w:ilvl w:val="0"/>
          <w:numId w:val="15"/>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Turistički ured TZGZ-a upravlja sredstvima koji se na temelju ovog Programa dodjeljuju kao potpore. Iznos sredstava iz ovog stavka se utvrđuje u skladu s Programom rada i financijskim planom za 202</w:t>
      </w:r>
      <w:r>
        <w:rPr>
          <w:rFonts w:ascii="Arial" w:eastAsia="Arial" w:hAnsi="Arial" w:cs="Arial"/>
        </w:rPr>
        <w:t>3</w:t>
      </w:r>
      <w:r>
        <w:rPr>
          <w:rFonts w:ascii="Arial" w:eastAsia="Arial" w:hAnsi="Arial" w:cs="Arial"/>
          <w:color w:val="000000"/>
        </w:rPr>
        <w:t xml:space="preserve">. godinu koji će biti odobren od strane Skupštine TZGZ-a, a koji iznosi se odnose na razvoj proizvoda. </w:t>
      </w:r>
    </w:p>
    <w:p w14:paraId="0000000B" w14:textId="77777777" w:rsidR="00DD574C" w:rsidRDefault="00000000">
      <w:pPr>
        <w:numPr>
          <w:ilvl w:val="0"/>
          <w:numId w:val="15"/>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D</w:t>
      </w:r>
      <w:r>
        <w:rPr>
          <w:rFonts w:ascii="Arial" w:eastAsia="Arial" w:hAnsi="Arial" w:cs="Arial"/>
          <w:i/>
          <w:color w:val="000000"/>
        </w:rPr>
        <w:t xml:space="preserve">e </w:t>
      </w:r>
      <w:proofErr w:type="spellStart"/>
      <w:r>
        <w:rPr>
          <w:rFonts w:ascii="Arial" w:eastAsia="Arial" w:hAnsi="Arial" w:cs="Arial"/>
          <w:i/>
          <w:color w:val="000000"/>
        </w:rPr>
        <w:t>minimis</w:t>
      </w:r>
      <w:proofErr w:type="spellEnd"/>
      <w:r>
        <w:rPr>
          <w:rFonts w:ascii="Arial" w:eastAsia="Arial" w:hAnsi="Arial" w:cs="Arial"/>
          <w:color w:val="000000"/>
        </w:rPr>
        <w:t xml:space="preserve"> potpore dodijeljene prema ovom Programu smatraju se transparentnim u smislu članka 4. Uredbe Komisije 1407/2013.</w:t>
      </w:r>
    </w:p>
    <w:p w14:paraId="0000000C" w14:textId="77777777" w:rsidR="00DD574C" w:rsidRDefault="00DD574C">
      <w:pPr>
        <w:pBdr>
          <w:top w:val="nil"/>
          <w:left w:val="nil"/>
          <w:bottom w:val="nil"/>
          <w:right w:val="nil"/>
          <w:between w:val="nil"/>
        </w:pBdr>
        <w:spacing w:after="0" w:line="240" w:lineRule="auto"/>
        <w:ind w:left="0" w:hanging="2"/>
        <w:jc w:val="both"/>
        <w:rPr>
          <w:rFonts w:ascii="Arial" w:eastAsia="Arial" w:hAnsi="Arial" w:cs="Arial"/>
          <w:color w:val="000000"/>
        </w:rPr>
      </w:pPr>
    </w:p>
    <w:p w14:paraId="0000000D" w14:textId="77777777" w:rsidR="00DD574C" w:rsidRDefault="00000000">
      <w:pPr>
        <w:spacing w:after="0" w:line="240" w:lineRule="auto"/>
        <w:ind w:left="0" w:hanging="2"/>
        <w:jc w:val="both"/>
        <w:rPr>
          <w:rFonts w:ascii="Arial" w:eastAsia="Arial" w:hAnsi="Arial" w:cs="Arial"/>
        </w:rPr>
      </w:pPr>
      <w:r>
        <w:rPr>
          <w:rFonts w:ascii="Arial" w:eastAsia="Arial" w:hAnsi="Arial" w:cs="Arial"/>
          <w:b/>
        </w:rPr>
        <w:t>Definicije</w:t>
      </w:r>
    </w:p>
    <w:p w14:paraId="0000000E" w14:textId="77777777" w:rsidR="00DD574C" w:rsidRDefault="00000000">
      <w:pPr>
        <w:spacing w:after="0" w:line="240" w:lineRule="auto"/>
        <w:ind w:left="0" w:hanging="2"/>
        <w:jc w:val="center"/>
        <w:rPr>
          <w:rFonts w:ascii="Arial" w:eastAsia="Arial" w:hAnsi="Arial" w:cs="Arial"/>
        </w:rPr>
      </w:pPr>
      <w:r>
        <w:rPr>
          <w:rFonts w:ascii="Arial" w:eastAsia="Arial" w:hAnsi="Arial" w:cs="Arial"/>
        </w:rPr>
        <w:t>Članak 2.</w:t>
      </w:r>
    </w:p>
    <w:p w14:paraId="0000000F" w14:textId="77777777" w:rsidR="00DD574C" w:rsidRDefault="00000000">
      <w:pPr>
        <w:spacing w:after="0" w:line="240" w:lineRule="auto"/>
        <w:ind w:left="0" w:hanging="2"/>
        <w:jc w:val="both"/>
        <w:rPr>
          <w:rFonts w:ascii="Arial" w:eastAsia="Arial" w:hAnsi="Arial" w:cs="Arial"/>
        </w:rPr>
      </w:pPr>
      <w:r>
        <w:rPr>
          <w:rFonts w:ascii="Arial" w:eastAsia="Arial" w:hAnsi="Arial" w:cs="Arial"/>
        </w:rPr>
        <w:t>Pojmovi u smislu ovog Programa imaju sljedeće značenje:</w:t>
      </w:r>
    </w:p>
    <w:p w14:paraId="00000010" w14:textId="77777777" w:rsidR="00DD574C" w:rsidRDefault="00000000">
      <w:pPr>
        <w:numPr>
          <w:ilvl w:val="0"/>
          <w:numId w:val="13"/>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Program potpora je svaki akt na temelju kojeg se mogu, bez potrebe za daljnjim provedbenim mjerama, dodjeljivati pojedinačne potpore poduzetnicima koji su utvrđeni u aktu na općenit i apstraktan način te svaki akt na temelju kojeg se potpora koja nije povezana s određenim projektom može dodijeliti jednom poduzetniku ili više njih na neodređeno razdoblje i/ili u neodređenom iznosu,</w:t>
      </w:r>
    </w:p>
    <w:p w14:paraId="00000011" w14:textId="77777777" w:rsidR="00DD574C" w:rsidRDefault="00000000">
      <w:pPr>
        <w:numPr>
          <w:ilvl w:val="0"/>
          <w:numId w:val="13"/>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Prijavitelj/korisnik potpore je pravna osoba koja obavlja gospodarsku djelatnost i koristi svoje opsežno poznavanje lokalnog turističkog proizvoda, posjeduje resurse i sposobnost za provođenje projekata, posjeduje stručno osoblje i ima dostupne druge potrebne resurse za osmišljavanje i realizaciju projekata, manifestacija i ostalih promotivnih aktivnosti,</w:t>
      </w:r>
    </w:p>
    <w:p w14:paraId="00000012" w14:textId="77777777" w:rsidR="00DD574C" w:rsidRDefault="00000000">
      <w:pPr>
        <w:numPr>
          <w:ilvl w:val="0"/>
          <w:numId w:val="13"/>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Poduzetnik za potrebe ovog Programa je pravna osoba koja obavlja gospodarsku djelatnost, </w:t>
      </w:r>
    </w:p>
    <w:p w14:paraId="00000013" w14:textId="77777777" w:rsidR="00DD574C" w:rsidRDefault="00000000">
      <w:pPr>
        <w:numPr>
          <w:ilvl w:val="0"/>
          <w:numId w:val="13"/>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Gospodarska djelatnost je djelatnost koja se sastoji od pružanja robe i usluga na tržištu,</w:t>
      </w:r>
    </w:p>
    <w:p w14:paraId="00000014" w14:textId="77777777" w:rsidR="00DD574C" w:rsidRDefault="00000000">
      <w:pPr>
        <w:numPr>
          <w:ilvl w:val="0"/>
          <w:numId w:val="13"/>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Razvoj turističkog proizvoda grada Zagreba je poticanje razvoja postojećih i kreiranje novih projekata kojima se povećava broj dolazaka i noćenja u destinaciji, obogaćuje turistička ponuda destinacije te promovira turistički proizvod Zagreba. Na ovaj način želi se razviti turistički proizvod grada Zagreba – kako onaj koji generira dolaske, tako i onaj koji stvara ugođaj prilikom boravka u destinaciji. Ujedno, cilj sufinanciranja su i projekti u cilju promocije grada Zagreba te projekti koji se odnose na kongresnu industriju</w:t>
      </w:r>
    </w:p>
    <w:p w14:paraId="00000015" w14:textId="77777777" w:rsidR="00DD574C" w:rsidRDefault="00000000">
      <w:pPr>
        <w:numPr>
          <w:ilvl w:val="0"/>
          <w:numId w:val="13"/>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lastRenderedPageBreak/>
        <w:t>Kriteriji za davanje potpore su kriteriji kojima TZGZ vrednuje odobravanje potpore za manifestacije, marketinške projekte, skupove i kongresne aktivnosti u 202</w:t>
      </w:r>
      <w:r>
        <w:rPr>
          <w:rFonts w:ascii="Arial" w:eastAsia="Arial" w:hAnsi="Arial" w:cs="Arial"/>
        </w:rPr>
        <w:t>3.</w:t>
      </w:r>
      <w:r>
        <w:rPr>
          <w:rFonts w:ascii="Arial" w:eastAsia="Arial" w:hAnsi="Arial" w:cs="Arial"/>
          <w:color w:val="000000"/>
        </w:rPr>
        <w:t xml:space="preserve"> godini, a koji su dio javnog poziva,</w:t>
      </w:r>
    </w:p>
    <w:p w14:paraId="00000016" w14:textId="77777777" w:rsidR="00DD574C" w:rsidRDefault="00000000">
      <w:pPr>
        <w:numPr>
          <w:ilvl w:val="0"/>
          <w:numId w:val="13"/>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Dan dodjele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potpore je dan sklapanja ugovora o financiranju. </w:t>
      </w:r>
    </w:p>
    <w:p w14:paraId="00000017" w14:textId="77777777" w:rsidR="00DD574C" w:rsidRDefault="00DD574C">
      <w:pPr>
        <w:pBdr>
          <w:top w:val="nil"/>
          <w:left w:val="nil"/>
          <w:bottom w:val="nil"/>
          <w:right w:val="nil"/>
          <w:between w:val="nil"/>
        </w:pBdr>
        <w:spacing w:after="0" w:line="240" w:lineRule="auto"/>
        <w:ind w:left="0" w:hanging="2"/>
        <w:jc w:val="both"/>
        <w:rPr>
          <w:rFonts w:ascii="Arial" w:eastAsia="Arial" w:hAnsi="Arial" w:cs="Arial"/>
          <w:color w:val="000000"/>
        </w:rPr>
      </w:pPr>
    </w:p>
    <w:p w14:paraId="00000018" w14:textId="77777777" w:rsidR="00DD574C" w:rsidRDefault="00000000">
      <w:pPr>
        <w:spacing w:after="0" w:line="240" w:lineRule="auto"/>
        <w:ind w:left="0" w:hanging="2"/>
        <w:rPr>
          <w:rFonts w:ascii="Arial" w:eastAsia="Arial" w:hAnsi="Arial" w:cs="Arial"/>
        </w:rPr>
      </w:pPr>
      <w:r>
        <w:rPr>
          <w:rFonts w:ascii="Arial" w:eastAsia="Arial" w:hAnsi="Arial" w:cs="Arial"/>
          <w:b/>
        </w:rPr>
        <w:t>Definicija „jednog poduzetnika“</w:t>
      </w:r>
    </w:p>
    <w:p w14:paraId="00000019" w14:textId="77777777" w:rsidR="00DD574C" w:rsidRDefault="00000000">
      <w:pPr>
        <w:spacing w:after="0" w:line="240" w:lineRule="auto"/>
        <w:ind w:left="0" w:hanging="2"/>
        <w:jc w:val="center"/>
        <w:rPr>
          <w:rFonts w:ascii="Arial" w:eastAsia="Arial" w:hAnsi="Arial" w:cs="Arial"/>
        </w:rPr>
      </w:pPr>
      <w:r>
        <w:rPr>
          <w:rFonts w:ascii="Arial" w:eastAsia="Arial" w:hAnsi="Arial" w:cs="Arial"/>
        </w:rPr>
        <w:t>Članak 3.</w:t>
      </w:r>
    </w:p>
    <w:p w14:paraId="0000001A" w14:textId="77777777" w:rsidR="00DD574C" w:rsidRDefault="00000000">
      <w:pPr>
        <w:numPr>
          <w:ilvl w:val="0"/>
          <w:numId w:val="16"/>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Potpore sukladno ovom Programu, TZGZ će dodjeljivati poštujući pravilo iz Uredbe Komisije 1407/2013 da se svi subjekti koje kontrolira jedan poduzetnik na pravnoj ili </w:t>
      </w:r>
      <w:r>
        <w:rPr>
          <w:rFonts w:ascii="Arial" w:eastAsia="Arial" w:hAnsi="Arial" w:cs="Arial"/>
          <w:i/>
          <w:color w:val="000000"/>
        </w:rPr>
        <w:t>de facto</w:t>
      </w:r>
      <w:r>
        <w:rPr>
          <w:rFonts w:ascii="Arial" w:eastAsia="Arial" w:hAnsi="Arial" w:cs="Arial"/>
          <w:color w:val="000000"/>
        </w:rPr>
        <w:t xml:space="preserve"> osnovi smatraju jednim poduzetnikom. </w:t>
      </w:r>
    </w:p>
    <w:p w14:paraId="0000001B" w14:textId="77777777" w:rsidR="00DD574C" w:rsidRDefault="00000000">
      <w:pPr>
        <w:numPr>
          <w:ilvl w:val="0"/>
          <w:numId w:val="16"/>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Pojam „jedan poduzetnik” iz stavka 1. ovog članka obuhvaća sva povezana društva ili grupu koja zadovoljava jedan od sljedećih međusobnih odnosa:</w:t>
      </w:r>
    </w:p>
    <w:p w14:paraId="0000001C" w14:textId="77777777" w:rsidR="00DD574C" w:rsidRDefault="00000000">
      <w:pPr>
        <w:numPr>
          <w:ilvl w:val="0"/>
          <w:numId w:val="17"/>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jedno društvo ima većinu glasačkih prava u drugom društvu na temelju dionica ili uloga u temeljnom kapitalu,</w:t>
      </w:r>
    </w:p>
    <w:p w14:paraId="0000001D" w14:textId="77777777" w:rsidR="00DD574C" w:rsidRDefault="00000000">
      <w:pPr>
        <w:numPr>
          <w:ilvl w:val="0"/>
          <w:numId w:val="17"/>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jedno društvo ima pravo imenovati ili smijeniti člana ili više članova uprave i nadzornog odbora drugog društva,</w:t>
      </w:r>
    </w:p>
    <w:p w14:paraId="0000001E" w14:textId="77777777" w:rsidR="00DD574C" w:rsidRDefault="00000000">
      <w:pPr>
        <w:numPr>
          <w:ilvl w:val="0"/>
          <w:numId w:val="17"/>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jedno društvo ima pravo ostvarivati vladajući utjecaj na drugo društvo temeljem sklopljenog ugovora ili prema odredbama statuta ili osnivačkog ugovora, </w:t>
      </w:r>
    </w:p>
    <w:p w14:paraId="0000001F" w14:textId="77777777" w:rsidR="00DD574C" w:rsidRDefault="00000000">
      <w:pPr>
        <w:numPr>
          <w:ilvl w:val="0"/>
          <w:numId w:val="17"/>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jedno društvo koje je dioničar ili član u drugom društvu kontrolira samo sukladno dogovoru s drugim dioničarima ili članovima tog društva, većinu glasačkih prava dioničara ili članova tog društva.</w:t>
      </w:r>
    </w:p>
    <w:p w14:paraId="00000020" w14:textId="77777777" w:rsidR="00DD574C" w:rsidRDefault="00DD574C">
      <w:pPr>
        <w:spacing w:after="0" w:line="240" w:lineRule="auto"/>
        <w:ind w:left="0" w:hanging="2"/>
        <w:jc w:val="both"/>
        <w:rPr>
          <w:rFonts w:ascii="Arial" w:eastAsia="Arial" w:hAnsi="Arial" w:cs="Arial"/>
        </w:rPr>
      </w:pPr>
    </w:p>
    <w:p w14:paraId="00000021" w14:textId="77777777" w:rsidR="00DD574C" w:rsidRDefault="00000000">
      <w:pPr>
        <w:spacing w:after="0" w:line="240" w:lineRule="auto"/>
        <w:ind w:left="0" w:hanging="2"/>
        <w:jc w:val="both"/>
        <w:rPr>
          <w:rFonts w:ascii="Arial" w:eastAsia="Arial" w:hAnsi="Arial" w:cs="Arial"/>
        </w:rPr>
      </w:pPr>
      <w:r>
        <w:rPr>
          <w:rFonts w:ascii="Arial" w:eastAsia="Arial" w:hAnsi="Arial" w:cs="Arial"/>
          <w:b/>
        </w:rPr>
        <w:t>Namjena</w:t>
      </w:r>
    </w:p>
    <w:p w14:paraId="00000022" w14:textId="77777777" w:rsidR="00DD574C" w:rsidRDefault="00000000">
      <w:pPr>
        <w:spacing w:after="0" w:line="240" w:lineRule="auto"/>
        <w:ind w:left="0" w:hanging="2"/>
        <w:jc w:val="center"/>
        <w:rPr>
          <w:rFonts w:ascii="Arial" w:eastAsia="Arial" w:hAnsi="Arial" w:cs="Arial"/>
        </w:rPr>
      </w:pPr>
      <w:r>
        <w:rPr>
          <w:rFonts w:ascii="Arial" w:eastAsia="Arial" w:hAnsi="Arial" w:cs="Arial"/>
        </w:rPr>
        <w:t>Članak 4.</w:t>
      </w:r>
    </w:p>
    <w:p w14:paraId="00000023" w14:textId="77777777" w:rsidR="00DD574C" w:rsidRDefault="00000000">
      <w:pPr>
        <w:numPr>
          <w:ilvl w:val="0"/>
          <w:numId w:val="2"/>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Na temelju ovog Programa, TZGZ će raspisati Javni poziv za dostavu projektnih prijedloga tj. Upute za prijavitelje (u nastavku: Javni poziv), manifestacija, marketinških projekata, skupova i kandidatura koji će financirati/sufinancirati TZGZ u 202</w:t>
      </w:r>
      <w:r>
        <w:rPr>
          <w:rFonts w:ascii="Arial" w:eastAsia="Arial" w:hAnsi="Arial" w:cs="Arial"/>
        </w:rPr>
        <w:t>3</w:t>
      </w:r>
      <w:r>
        <w:rPr>
          <w:rFonts w:ascii="Arial" w:eastAsia="Arial" w:hAnsi="Arial" w:cs="Arial"/>
          <w:color w:val="000000"/>
        </w:rPr>
        <w:t>. godini.</w:t>
      </w:r>
    </w:p>
    <w:p w14:paraId="00000024" w14:textId="77777777" w:rsidR="00DD574C" w:rsidRDefault="00000000">
      <w:pPr>
        <w:numPr>
          <w:ilvl w:val="0"/>
          <w:numId w:val="2"/>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Detaljni uvjeti i kriteriji za dodjelu potpora za aktivnosti iz prethodnog stavka nalaze se u prilogu ovog Programa te čine dio Programa (Prilog I). </w:t>
      </w:r>
    </w:p>
    <w:p w14:paraId="00000025" w14:textId="77777777" w:rsidR="00DD574C" w:rsidRDefault="00000000">
      <w:pPr>
        <w:numPr>
          <w:ilvl w:val="0"/>
          <w:numId w:val="2"/>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TZGZ je ovlašten uvjete i kriterije iz ovog Programa detaljnije utvrditi u Javnom pozivu iz stavka 1. ovog članka. </w:t>
      </w:r>
    </w:p>
    <w:p w14:paraId="00000026" w14:textId="77777777" w:rsidR="00DD574C" w:rsidRDefault="00DD574C">
      <w:pPr>
        <w:pBdr>
          <w:top w:val="nil"/>
          <w:left w:val="nil"/>
          <w:bottom w:val="nil"/>
          <w:right w:val="nil"/>
          <w:between w:val="nil"/>
        </w:pBdr>
        <w:spacing w:after="0" w:line="240" w:lineRule="auto"/>
        <w:ind w:left="0" w:hanging="2"/>
        <w:jc w:val="both"/>
        <w:rPr>
          <w:rFonts w:ascii="Arial" w:eastAsia="Arial" w:hAnsi="Arial" w:cs="Arial"/>
          <w:color w:val="000000"/>
        </w:rPr>
      </w:pPr>
    </w:p>
    <w:p w14:paraId="00000027" w14:textId="77777777" w:rsidR="00DD574C" w:rsidRDefault="00000000">
      <w:pPr>
        <w:spacing w:after="0" w:line="240" w:lineRule="auto"/>
        <w:ind w:left="0" w:hanging="2"/>
        <w:jc w:val="both"/>
        <w:rPr>
          <w:rFonts w:ascii="Arial" w:eastAsia="Arial" w:hAnsi="Arial" w:cs="Arial"/>
        </w:rPr>
      </w:pPr>
      <w:r>
        <w:rPr>
          <w:rFonts w:ascii="Arial" w:eastAsia="Arial" w:hAnsi="Arial" w:cs="Arial"/>
          <w:b/>
        </w:rPr>
        <w:t>Sredstva koja ne predstavljaju potporu u smislu ovog Programa</w:t>
      </w:r>
    </w:p>
    <w:p w14:paraId="00000028" w14:textId="77777777" w:rsidR="00DD574C" w:rsidRDefault="00000000">
      <w:pPr>
        <w:spacing w:after="0" w:line="240" w:lineRule="auto"/>
        <w:ind w:left="0" w:hanging="2"/>
        <w:jc w:val="center"/>
        <w:rPr>
          <w:rFonts w:ascii="Arial" w:eastAsia="Arial" w:hAnsi="Arial" w:cs="Arial"/>
        </w:rPr>
      </w:pPr>
      <w:r>
        <w:rPr>
          <w:rFonts w:ascii="Arial" w:eastAsia="Arial" w:hAnsi="Arial" w:cs="Arial"/>
        </w:rPr>
        <w:t>Članak 5.</w:t>
      </w:r>
    </w:p>
    <w:p w14:paraId="00000029" w14:textId="77777777" w:rsidR="00DD574C" w:rsidRDefault="00000000">
      <w:pPr>
        <w:spacing w:after="0" w:line="240" w:lineRule="auto"/>
        <w:ind w:left="0" w:hanging="2"/>
        <w:jc w:val="both"/>
        <w:rPr>
          <w:rFonts w:ascii="Arial" w:eastAsia="Arial" w:hAnsi="Arial" w:cs="Arial"/>
        </w:rPr>
      </w:pPr>
      <w:r>
        <w:rPr>
          <w:rFonts w:ascii="Arial" w:eastAsia="Arial" w:hAnsi="Arial" w:cs="Arial"/>
        </w:rPr>
        <w:t xml:space="preserve">Program se ne odnosi na financijska sredstva kojima TZGZ promiče razvoj turističke destinacije Zagreb, na sufinanciranju aktivnosti povezanih s kulturom i očuvanjem baštine Grada Zagreba koje se organiziraju na nekomercijalan način i koje su dostupne posjetiteljima i građanima bez naknade ili uz naknadu koja pokriva samo dio stvarnih troškova te ostalih aktivnosti i manifestacija koje su ograničene na područje Grada Zagreba i prema svom sadržaju i načinu na koji se provode namijenjene obogaćivanju turističkog proizvoda, a ne demotiviranju korisnika ili posjetitelja iz inozemstva od sličnih ponuda u drugim državama članicama EU. </w:t>
      </w:r>
    </w:p>
    <w:p w14:paraId="0000002A" w14:textId="77777777" w:rsidR="00DD574C" w:rsidRDefault="00DD574C">
      <w:pPr>
        <w:spacing w:after="0" w:line="240" w:lineRule="auto"/>
        <w:ind w:left="0" w:hanging="2"/>
        <w:jc w:val="both"/>
        <w:rPr>
          <w:rFonts w:ascii="Arial" w:eastAsia="Arial" w:hAnsi="Arial" w:cs="Arial"/>
        </w:rPr>
      </w:pPr>
    </w:p>
    <w:p w14:paraId="0000002B" w14:textId="77777777" w:rsidR="00DD574C" w:rsidRDefault="00DD574C">
      <w:pPr>
        <w:spacing w:after="0" w:line="240" w:lineRule="auto"/>
        <w:ind w:left="0" w:hanging="2"/>
        <w:jc w:val="both"/>
        <w:rPr>
          <w:rFonts w:ascii="Arial" w:eastAsia="Arial" w:hAnsi="Arial" w:cs="Arial"/>
        </w:rPr>
      </w:pPr>
    </w:p>
    <w:p w14:paraId="0000002C" w14:textId="77777777" w:rsidR="00DD574C" w:rsidRDefault="00000000">
      <w:pPr>
        <w:spacing w:after="0" w:line="240" w:lineRule="auto"/>
        <w:ind w:left="0" w:hanging="2"/>
        <w:rPr>
          <w:rFonts w:ascii="Arial" w:eastAsia="Arial" w:hAnsi="Arial" w:cs="Arial"/>
        </w:rPr>
      </w:pPr>
      <w:r>
        <w:rPr>
          <w:rFonts w:ascii="Arial" w:eastAsia="Arial" w:hAnsi="Arial" w:cs="Arial"/>
          <w:b/>
        </w:rPr>
        <w:t>Zabrana dodjele potpore</w:t>
      </w:r>
    </w:p>
    <w:p w14:paraId="0000002D" w14:textId="77777777" w:rsidR="00DD574C" w:rsidRDefault="00000000">
      <w:pPr>
        <w:spacing w:after="0" w:line="240" w:lineRule="auto"/>
        <w:ind w:left="0" w:hanging="2"/>
        <w:jc w:val="center"/>
        <w:rPr>
          <w:rFonts w:ascii="Arial" w:eastAsia="Arial" w:hAnsi="Arial" w:cs="Arial"/>
        </w:rPr>
      </w:pPr>
      <w:r>
        <w:rPr>
          <w:rFonts w:ascii="Arial" w:eastAsia="Arial" w:hAnsi="Arial" w:cs="Arial"/>
        </w:rPr>
        <w:t>Članak 6.</w:t>
      </w:r>
    </w:p>
    <w:p w14:paraId="0000002E" w14:textId="77777777" w:rsidR="00DD574C" w:rsidRDefault="00000000">
      <w:pPr>
        <w:numPr>
          <w:ilvl w:val="0"/>
          <w:numId w:val="8"/>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Na temelju ovog Programa ne mogu se dodijeliti:</w:t>
      </w:r>
    </w:p>
    <w:p w14:paraId="0000002F" w14:textId="77777777" w:rsidR="00DD574C" w:rsidRDefault="00000000">
      <w:pPr>
        <w:numPr>
          <w:ilvl w:val="0"/>
          <w:numId w:val="14"/>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potpore poduzetnicima koji djeluju u sektoru ribarstva i akvakulture,</w:t>
      </w:r>
    </w:p>
    <w:p w14:paraId="00000030" w14:textId="77777777" w:rsidR="00DD574C" w:rsidRDefault="00000000">
      <w:pPr>
        <w:numPr>
          <w:ilvl w:val="0"/>
          <w:numId w:val="14"/>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potpore poduzetnicima koji djeluju u primarnoj proizvodnji poljoprivrednih proizvoda, te u sektoru prerade i stavljanja na tržište poljoprivrednih proizvoda i to u slučajevima kada je iznos potpore fiksno utvrđen na temelju cijene ili količine takvih proizvoda kupljenih od primarnih proizvođača te stavljenih na tržište od strane predmetnog poduzetnika i potpore koje su uvjetovane njihovim djelomičnim ili potpunim prenošenjem na primarne proizvođače,</w:t>
      </w:r>
    </w:p>
    <w:p w14:paraId="00000031" w14:textId="77777777" w:rsidR="00DD574C" w:rsidRDefault="00000000">
      <w:pPr>
        <w:numPr>
          <w:ilvl w:val="0"/>
          <w:numId w:val="14"/>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lastRenderedPageBreak/>
        <w:t>potpore za djelatnosti usmjerene izvozu u treće zemlje ili države članice ako se takve potpore mogu izravno povezati s brojem dovedenih turista, brojem osiguranih mjesta u zrakoplovima i autobusima, brojem noćenja i slično, uspostavom i funkcioniranjem distribucijske mreže ili s drugim tekućim troškovima vezanim za dovođenje turista,</w:t>
      </w:r>
    </w:p>
    <w:p w14:paraId="00000032" w14:textId="77777777" w:rsidR="00DD574C" w:rsidRDefault="00000000">
      <w:pPr>
        <w:numPr>
          <w:ilvl w:val="0"/>
          <w:numId w:val="14"/>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potpore koje se uvjetuju uporabom domaćih proizvoda umjesto uvezenih,</w:t>
      </w:r>
    </w:p>
    <w:p w14:paraId="00000033" w14:textId="77777777" w:rsidR="00DD574C" w:rsidRDefault="00000000">
      <w:pPr>
        <w:numPr>
          <w:ilvl w:val="0"/>
          <w:numId w:val="14"/>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za nabavu vozila za cestovni prijevoz tereta poduzetnicima koji se bave cestovnim prijevozom tereta za najamninu i naknadu,</w:t>
      </w:r>
    </w:p>
    <w:p w14:paraId="00000034" w14:textId="77777777" w:rsidR="00DD574C" w:rsidRDefault="00000000">
      <w:pPr>
        <w:numPr>
          <w:ilvl w:val="0"/>
          <w:numId w:val="14"/>
        </w:numPr>
        <w:spacing w:after="0" w:line="240" w:lineRule="auto"/>
        <w:ind w:left="0" w:hanging="2"/>
        <w:jc w:val="both"/>
        <w:rPr>
          <w:rFonts w:ascii="Arial" w:eastAsia="Arial" w:hAnsi="Arial" w:cs="Arial"/>
        </w:rPr>
      </w:pPr>
      <w:r>
        <w:rPr>
          <w:rFonts w:ascii="Arial" w:eastAsia="Arial" w:hAnsi="Arial" w:cs="Arial"/>
        </w:rPr>
        <w:t>potpore poduzetnicima u teškoćama.</w:t>
      </w:r>
    </w:p>
    <w:p w14:paraId="00000035" w14:textId="77777777" w:rsidR="00DD574C" w:rsidRDefault="00000000">
      <w:pPr>
        <w:numPr>
          <w:ilvl w:val="0"/>
          <w:numId w:val="8"/>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highlight w:val="white"/>
        </w:rPr>
        <w:t>Ako poduzetnik djeluje u sektorima navedenima u stavku 1. točkama a) i b) i djeluje u jednom ili više sektora ili ima druge djelatnosti koje su obuhvaćene područjem primjene ovog Programa, ovaj se Program primjenjuje na potpore dodijeljene u vezi s tim drugim sektorima ili djelatnostima, uz uvjet da poduzetnik osigura, na primjeren način, razdvajanje djelatnosti ili troškova (vođenje odvojenog knjigovodstva), da djelatnosti u sektorima koji su isključeni iz područja primjene ovog Programa ne ostvaruju korist od </w:t>
      </w:r>
      <w:r>
        <w:rPr>
          <w:rFonts w:ascii="Arial" w:eastAsia="Arial" w:hAnsi="Arial" w:cs="Arial"/>
          <w:i/>
          <w:color w:val="000000"/>
          <w:highlight w:val="white"/>
        </w:rPr>
        <w:t xml:space="preserve">de </w:t>
      </w:r>
      <w:proofErr w:type="spellStart"/>
      <w:r>
        <w:rPr>
          <w:rFonts w:ascii="Arial" w:eastAsia="Arial" w:hAnsi="Arial" w:cs="Arial"/>
          <w:i/>
          <w:color w:val="000000"/>
          <w:highlight w:val="white"/>
        </w:rPr>
        <w:t>minimis</w:t>
      </w:r>
      <w:proofErr w:type="spellEnd"/>
      <w:r>
        <w:rPr>
          <w:rFonts w:ascii="Arial" w:eastAsia="Arial" w:hAnsi="Arial" w:cs="Arial"/>
          <w:color w:val="000000"/>
          <w:highlight w:val="white"/>
        </w:rPr>
        <w:t> potpore dodijeljene na temelju ovog Programa.</w:t>
      </w:r>
    </w:p>
    <w:p w14:paraId="00000036" w14:textId="77777777" w:rsidR="00DD574C" w:rsidRDefault="00000000">
      <w:pPr>
        <w:numPr>
          <w:ilvl w:val="0"/>
          <w:numId w:val="8"/>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highlight w:val="white"/>
        </w:rPr>
        <w:t xml:space="preserve">Poduzetnikom u teškoćama iz stavka 1. </w:t>
      </w:r>
      <w:proofErr w:type="spellStart"/>
      <w:r>
        <w:rPr>
          <w:rFonts w:ascii="Arial" w:eastAsia="Arial" w:hAnsi="Arial" w:cs="Arial"/>
          <w:color w:val="000000"/>
          <w:highlight w:val="white"/>
        </w:rPr>
        <w:t>toč</w:t>
      </w:r>
      <w:proofErr w:type="spellEnd"/>
      <w:r>
        <w:rPr>
          <w:rFonts w:ascii="Arial" w:eastAsia="Arial" w:hAnsi="Arial" w:cs="Arial"/>
          <w:color w:val="000000"/>
          <w:highlight w:val="white"/>
        </w:rPr>
        <w:t xml:space="preserve">. f) smatra se poduzetnik koji ispunjava uvjete sukladno Smjernicama o državnim potporama za sanaciju i restrukturiranje nefinancijskih poduzetnika u teškoćama (SL EU, C 249/1, 31.7.2014.) </w:t>
      </w:r>
    </w:p>
    <w:p w14:paraId="00000037" w14:textId="77777777" w:rsidR="00DD574C" w:rsidRDefault="00000000">
      <w:pPr>
        <w:numPr>
          <w:ilvl w:val="0"/>
          <w:numId w:val="8"/>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Osim navedenog, TZGZ može odlučiti da se potpora dodjeljuje samo određenim poduzetnicima s obzirom na njihovu veličinu i samo za određenu namjenu, u skladu s kriterijima predviđenim u članku 4. ovog Programa.</w:t>
      </w:r>
    </w:p>
    <w:p w14:paraId="00000038" w14:textId="77777777" w:rsidR="00DD574C" w:rsidRDefault="00DD574C">
      <w:pPr>
        <w:spacing w:after="0" w:line="240" w:lineRule="auto"/>
        <w:ind w:left="0" w:hanging="2"/>
        <w:rPr>
          <w:rFonts w:ascii="Arial" w:eastAsia="Arial" w:hAnsi="Arial" w:cs="Arial"/>
        </w:rPr>
      </w:pPr>
    </w:p>
    <w:p w14:paraId="00000039" w14:textId="77777777" w:rsidR="00DD574C" w:rsidRDefault="00000000">
      <w:pPr>
        <w:spacing w:after="0" w:line="240" w:lineRule="auto"/>
        <w:ind w:left="0" w:hanging="2"/>
        <w:rPr>
          <w:rFonts w:ascii="Arial" w:eastAsia="Arial" w:hAnsi="Arial" w:cs="Arial"/>
        </w:rPr>
      </w:pPr>
      <w:r>
        <w:rPr>
          <w:rFonts w:ascii="Arial" w:eastAsia="Arial" w:hAnsi="Arial" w:cs="Arial"/>
          <w:b/>
        </w:rPr>
        <w:t>Prihvatljivi troškovi</w:t>
      </w:r>
    </w:p>
    <w:p w14:paraId="0000003A" w14:textId="77777777" w:rsidR="00DD574C" w:rsidRDefault="00000000">
      <w:pPr>
        <w:spacing w:after="0" w:line="240" w:lineRule="auto"/>
        <w:ind w:left="0" w:hanging="2"/>
        <w:jc w:val="center"/>
        <w:rPr>
          <w:rFonts w:ascii="Arial" w:eastAsia="Arial" w:hAnsi="Arial" w:cs="Arial"/>
        </w:rPr>
      </w:pPr>
      <w:r>
        <w:rPr>
          <w:rFonts w:ascii="Arial" w:eastAsia="Arial" w:hAnsi="Arial" w:cs="Arial"/>
        </w:rPr>
        <w:t>Članak 7.</w:t>
      </w:r>
    </w:p>
    <w:p w14:paraId="0000003B" w14:textId="77777777" w:rsidR="00DD574C" w:rsidRDefault="00000000">
      <w:pPr>
        <w:numPr>
          <w:ilvl w:val="0"/>
          <w:numId w:val="9"/>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Prihvatljivim troškovima smatraju se ukupni troškovi predviđeni za svaku pojedinu aktivnost razvoja turističkog proizvoda grada Zagreba, ako ta aktivnost ispunjava sve uvjete i kriterije utvrđene u skladu s člankom 4. ovog Programa.</w:t>
      </w:r>
    </w:p>
    <w:p w14:paraId="0000003C" w14:textId="77777777" w:rsidR="00DD574C" w:rsidRDefault="00000000">
      <w:pPr>
        <w:numPr>
          <w:ilvl w:val="0"/>
          <w:numId w:val="9"/>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Iznos potpore po projektu/Korisniku koji će odobravati TZGZ kreće se u rasponu od 1% do 100% prihvatljivih troškova.</w:t>
      </w:r>
    </w:p>
    <w:p w14:paraId="0000003D" w14:textId="77777777" w:rsidR="00DD574C" w:rsidRDefault="00DD574C">
      <w:pPr>
        <w:pBdr>
          <w:top w:val="nil"/>
          <w:left w:val="nil"/>
          <w:bottom w:val="nil"/>
          <w:right w:val="nil"/>
          <w:between w:val="nil"/>
        </w:pBdr>
        <w:spacing w:after="0" w:line="240" w:lineRule="auto"/>
        <w:ind w:left="0" w:hanging="2"/>
        <w:jc w:val="both"/>
        <w:rPr>
          <w:rFonts w:ascii="Arial" w:eastAsia="Arial" w:hAnsi="Arial" w:cs="Arial"/>
          <w:color w:val="000000"/>
        </w:rPr>
      </w:pPr>
    </w:p>
    <w:p w14:paraId="0000003E" w14:textId="77777777" w:rsidR="00DD574C" w:rsidRDefault="00000000">
      <w:pPr>
        <w:spacing w:after="0" w:line="240" w:lineRule="auto"/>
        <w:ind w:left="0" w:hanging="2"/>
        <w:rPr>
          <w:rFonts w:ascii="Arial" w:eastAsia="Arial" w:hAnsi="Arial" w:cs="Arial"/>
        </w:rPr>
      </w:pPr>
      <w:r>
        <w:rPr>
          <w:rFonts w:ascii="Arial" w:eastAsia="Arial" w:hAnsi="Arial" w:cs="Arial"/>
          <w:b/>
        </w:rPr>
        <w:t>Visina potpore</w:t>
      </w:r>
    </w:p>
    <w:p w14:paraId="0000003F" w14:textId="77777777" w:rsidR="00DD574C" w:rsidRDefault="00000000">
      <w:pPr>
        <w:spacing w:after="0" w:line="240" w:lineRule="auto"/>
        <w:ind w:left="0" w:hanging="2"/>
        <w:jc w:val="center"/>
        <w:rPr>
          <w:rFonts w:ascii="Arial" w:eastAsia="Arial" w:hAnsi="Arial" w:cs="Arial"/>
        </w:rPr>
      </w:pPr>
      <w:r>
        <w:rPr>
          <w:rFonts w:ascii="Arial" w:eastAsia="Arial" w:hAnsi="Arial" w:cs="Arial"/>
        </w:rPr>
        <w:t>Članak 8.</w:t>
      </w:r>
    </w:p>
    <w:p w14:paraId="00000040" w14:textId="77777777" w:rsidR="00DD574C" w:rsidRDefault="00000000">
      <w:pPr>
        <w:numPr>
          <w:ilvl w:val="0"/>
          <w:numId w:val="3"/>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Visina potpore koja se dodjeljuje na temelju ovog Programa jednom Prijavitelju/korisniku potpore može iznositi najviše 200.000 EUR (dvjesto tisuća eura), u kunskoj protuvrijednosti po srednjem tečaju Hrvatske narodne banke koji vrijedi na dan kada Korisnik stekne zakonsko pravo na primanje potpore, tijekom bilo kojeg razdoblja od 3 (tri) fiskalne godine.</w:t>
      </w:r>
    </w:p>
    <w:p w14:paraId="00000041" w14:textId="77777777" w:rsidR="00DD574C" w:rsidRDefault="00000000">
      <w:pPr>
        <w:numPr>
          <w:ilvl w:val="0"/>
          <w:numId w:val="3"/>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Potpore koje se isplaćuju u više obroka diskontiraju se na vrijednost potpore u trenutku njezine dodjele. Kamatna stopa koja se primjenjuje pri diskontiranju je diskontna kamatna stopa koja se primjenjuje u trenutku dodjele.</w:t>
      </w:r>
    </w:p>
    <w:p w14:paraId="00000042" w14:textId="77777777" w:rsidR="00DD574C" w:rsidRDefault="00000000">
      <w:pPr>
        <w:numPr>
          <w:ilvl w:val="0"/>
          <w:numId w:val="3"/>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Korisnik ne smije potporu koristiti za druge namjene, jer će u tom slučaju TZGZ naložiti povrat potpore.</w:t>
      </w:r>
    </w:p>
    <w:p w14:paraId="00000043" w14:textId="77777777" w:rsidR="00DD574C" w:rsidRDefault="00000000">
      <w:pPr>
        <w:numPr>
          <w:ilvl w:val="0"/>
          <w:numId w:val="3"/>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Korisnik potpore dužan je TZGZ-u, kao davatelju potpore, dostaviti potpisanu i ovjerenu Izjavu o korištenju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i/>
          <w:color w:val="000000"/>
        </w:rPr>
        <w:t xml:space="preserve"> </w:t>
      </w:r>
      <w:r>
        <w:rPr>
          <w:rFonts w:ascii="Arial" w:eastAsia="Arial" w:hAnsi="Arial" w:cs="Arial"/>
          <w:color w:val="000000"/>
        </w:rPr>
        <w:t>potpora koje je poduzetnik koristio u tekućoj i prethodne 2 (dvije) fiskalne godine, a koje je dobio od svih davatelja državne potpore neovisno o razini (državna, EU fondovi, regionalna, lokalna) kako se ne bi premašile gornje granice iz stavka 1. ovog članka.</w:t>
      </w:r>
    </w:p>
    <w:p w14:paraId="00000044" w14:textId="77777777" w:rsidR="00DD574C" w:rsidRDefault="00000000">
      <w:pPr>
        <w:numPr>
          <w:ilvl w:val="0"/>
          <w:numId w:val="3"/>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Izjava iz prethodnog stavka ovog članka Programa se odnosi i na povezana društva koja se prema članku 3. stavku 2. ovog Programa smatraju jednim poduzetnikom. </w:t>
      </w:r>
    </w:p>
    <w:p w14:paraId="00000045" w14:textId="77777777" w:rsidR="00DD574C" w:rsidRDefault="00000000">
      <w:pPr>
        <w:numPr>
          <w:ilvl w:val="0"/>
          <w:numId w:val="3"/>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Izjava iz stavka 4. ovog članka je sastavni dio ovog Programa.</w:t>
      </w:r>
    </w:p>
    <w:p w14:paraId="00000046" w14:textId="77777777" w:rsidR="00DD574C" w:rsidRDefault="00DD574C">
      <w:pPr>
        <w:pBdr>
          <w:top w:val="nil"/>
          <w:left w:val="nil"/>
          <w:bottom w:val="nil"/>
          <w:right w:val="nil"/>
          <w:between w:val="nil"/>
        </w:pBdr>
        <w:spacing w:after="0" w:line="240" w:lineRule="auto"/>
        <w:ind w:left="0" w:hanging="2"/>
        <w:jc w:val="both"/>
        <w:rPr>
          <w:rFonts w:ascii="Arial" w:eastAsia="Arial" w:hAnsi="Arial" w:cs="Arial"/>
          <w:color w:val="000000"/>
        </w:rPr>
      </w:pPr>
    </w:p>
    <w:p w14:paraId="00000047" w14:textId="77777777" w:rsidR="00DD574C" w:rsidRDefault="00000000">
      <w:pPr>
        <w:spacing w:after="0" w:line="240" w:lineRule="auto"/>
        <w:ind w:left="0" w:hanging="2"/>
        <w:rPr>
          <w:rFonts w:ascii="Arial" w:eastAsia="Arial" w:hAnsi="Arial" w:cs="Arial"/>
        </w:rPr>
      </w:pPr>
      <w:r>
        <w:rPr>
          <w:rFonts w:ascii="Arial" w:eastAsia="Arial" w:hAnsi="Arial" w:cs="Arial"/>
          <w:b/>
        </w:rPr>
        <w:t>Instrument dodjele potpore</w:t>
      </w:r>
    </w:p>
    <w:p w14:paraId="00000048" w14:textId="77777777" w:rsidR="00DD574C" w:rsidRDefault="00000000">
      <w:pPr>
        <w:spacing w:after="0" w:line="240" w:lineRule="auto"/>
        <w:ind w:left="0" w:hanging="2"/>
        <w:jc w:val="center"/>
        <w:rPr>
          <w:rFonts w:ascii="Arial" w:eastAsia="Arial" w:hAnsi="Arial" w:cs="Arial"/>
        </w:rPr>
      </w:pPr>
      <w:r>
        <w:rPr>
          <w:rFonts w:ascii="Arial" w:eastAsia="Arial" w:hAnsi="Arial" w:cs="Arial"/>
        </w:rPr>
        <w:t>Članak 9.</w:t>
      </w:r>
    </w:p>
    <w:p w14:paraId="00000049" w14:textId="77777777" w:rsidR="00DD574C" w:rsidRDefault="00000000">
      <w:pPr>
        <w:spacing w:after="0" w:line="240" w:lineRule="auto"/>
        <w:ind w:left="0" w:hanging="2"/>
        <w:jc w:val="both"/>
        <w:rPr>
          <w:rFonts w:ascii="Arial" w:eastAsia="Arial" w:hAnsi="Arial" w:cs="Arial"/>
        </w:rPr>
      </w:pPr>
      <w:r>
        <w:rPr>
          <w:rFonts w:ascii="Arial" w:eastAsia="Arial" w:hAnsi="Arial" w:cs="Arial"/>
        </w:rPr>
        <w:t xml:space="preserve">Potpora se dodjeljuje Prijavitelju/korisniku potpore u obliku bespovratnih sredstava. </w:t>
      </w:r>
    </w:p>
    <w:p w14:paraId="0000004A" w14:textId="77777777" w:rsidR="00DD574C" w:rsidRDefault="00DD574C">
      <w:pPr>
        <w:spacing w:after="0" w:line="240" w:lineRule="auto"/>
        <w:ind w:left="0" w:hanging="2"/>
        <w:rPr>
          <w:rFonts w:ascii="Arial" w:eastAsia="Arial" w:hAnsi="Arial" w:cs="Arial"/>
          <w:b/>
        </w:rPr>
      </w:pPr>
    </w:p>
    <w:p w14:paraId="0000004B" w14:textId="77777777" w:rsidR="00DD574C" w:rsidRDefault="00000000">
      <w:pPr>
        <w:spacing w:after="0" w:line="240" w:lineRule="auto"/>
        <w:ind w:left="0" w:hanging="2"/>
        <w:rPr>
          <w:rFonts w:ascii="Arial" w:eastAsia="Arial" w:hAnsi="Arial" w:cs="Arial"/>
        </w:rPr>
      </w:pPr>
      <w:r>
        <w:rPr>
          <w:rFonts w:ascii="Arial" w:eastAsia="Arial" w:hAnsi="Arial" w:cs="Arial"/>
          <w:b/>
        </w:rPr>
        <w:t>Zbrajanje potpora</w:t>
      </w:r>
    </w:p>
    <w:p w14:paraId="0000004C" w14:textId="77777777" w:rsidR="00DD574C" w:rsidRDefault="00000000">
      <w:pPr>
        <w:spacing w:after="0" w:line="240" w:lineRule="auto"/>
        <w:ind w:left="0" w:hanging="2"/>
        <w:jc w:val="center"/>
        <w:rPr>
          <w:rFonts w:ascii="Arial" w:eastAsia="Arial" w:hAnsi="Arial" w:cs="Arial"/>
        </w:rPr>
      </w:pPr>
      <w:r>
        <w:rPr>
          <w:rFonts w:ascii="Arial" w:eastAsia="Arial" w:hAnsi="Arial" w:cs="Arial"/>
        </w:rPr>
        <w:t>Članak 10.</w:t>
      </w:r>
    </w:p>
    <w:p w14:paraId="0000004D" w14:textId="77777777" w:rsidR="00DD574C" w:rsidRDefault="00000000">
      <w:pPr>
        <w:numPr>
          <w:ilvl w:val="0"/>
          <w:numId w:val="10"/>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potpore koje se dodjeljuju u skladu s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Uredbom mogu se zbrajati s drugim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potporama, dodijeljenim u skladu s Uredbom Europske komisije (EU) br. 360/2012 o primjeni članaka 107. i 108. Ugovora o funkcioniranju Europske unije na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potpore koje se dodjeljuju poduzetnicima koji pružaju usluge od općeg gospodarskog interesa</w:t>
      </w:r>
      <w:r>
        <w:rPr>
          <w:rFonts w:ascii="Arial" w:eastAsia="Arial" w:hAnsi="Arial" w:cs="Arial"/>
          <w:color w:val="000000"/>
          <w:vertAlign w:val="superscript"/>
        </w:rPr>
        <w:footnoteReference w:id="1"/>
      </w:r>
      <w:r>
        <w:rPr>
          <w:rFonts w:ascii="Arial" w:eastAsia="Arial" w:hAnsi="Arial" w:cs="Arial"/>
          <w:color w:val="000000"/>
        </w:rPr>
        <w:t xml:space="preserve"> do gornjih granica utvrđenih u navedenoj Uredbi. Također, mogu se zbrajati s drugim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potporama do odgovarajuće gornje granice utvrđene člankom 3. stavkom 2.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Uredbe. </w:t>
      </w:r>
    </w:p>
    <w:p w14:paraId="0000004E" w14:textId="77777777" w:rsidR="00DD574C" w:rsidRDefault="00000000">
      <w:pPr>
        <w:numPr>
          <w:ilvl w:val="0"/>
          <w:numId w:val="10"/>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potpore mogu se zbrajati s bilo kojom drugom državnom potporom koja se odnosi na iste prihvatljive troškove, bilo da se oni djelomično ili potpuno preklapaju, isključivo ako to zbrajanje ne dovodi do premašivanja najvišeg intenziteta potpore ili iznosa potpore koji je primjenjiv na tu potporu na temelju ovog Programa i uredbom o skupnom izuzeću odnosno odlukom Europske komisije.</w:t>
      </w:r>
    </w:p>
    <w:p w14:paraId="0000004F" w14:textId="77777777" w:rsidR="00DD574C" w:rsidRDefault="00000000">
      <w:pPr>
        <w:numPr>
          <w:ilvl w:val="0"/>
          <w:numId w:val="10"/>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potpore koje nisu dodijeljene za određene prihvatljive troškove ili se njima ne mogu pripisati, mogu se zbrajati s drugim državnim potporama dodijeljenim u skladu s uredbom o skupnom izuzeću ili odlukom Europske komisije.</w:t>
      </w:r>
    </w:p>
    <w:p w14:paraId="00000050" w14:textId="77777777" w:rsidR="00DD574C" w:rsidRDefault="00000000">
      <w:pPr>
        <w:numPr>
          <w:ilvl w:val="0"/>
          <w:numId w:val="10"/>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Prilikom utvrđivanja poštuju li se odredbe ovog članka Programa o zbrajanju potpora, TZGZ će uzeti u obzir sve iznose potpora koje su određenom poduzetniku, projektu ili aktivnosti dodijeljene iz državnih/javnih izvora neovisno o tomu radi li se o sredstvima TZGZ-a ili drugih davatelja potpora na razini središnje države ili sredstvima dodijeljenim od strane jedinica lokalne i područne (regionalne) samouprave ili sredstvima iz ESI fondova.</w:t>
      </w:r>
    </w:p>
    <w:p w14:paraId="00000051" w14:textId="77777777" w:rsidR="00DD574C" w:rsidRDefault="00DD574C">
      <w:pPr>
        <w:pBdr>
          <w:top w:val="nil"/>
          <w:left w:val="nil"/>
          <w:bottom w:val="nil"/>
          <w:right w:val="nil"/>
          <w:between w:val="nil"/>
        </w:pBdr>
        <w:spacing w:after="0" w:line="240" w:lineRule="auto"/>
        <w:ind w:left="0" w:hanging="2"/>
        <w:jc w:val="both"/>
        <w:rPr>
          <w:rFonts w:ascii="Arial" w:eastAsia="Arial" w:hAnsi="Arial" w:cs="Arial"/>
          <w:color w:val="000000"/>
        </w:rPr>
      </w:pPr>
    </w:p>
    <w:p w14:paraId="00000052" w14:textId="77777777" w:rsidR="00DD574C" w:rsidRDefault="00000000">
      <w:pPr>
        <w:spacing w:after="0" w:line="240" w:lineRule="auto"/>
        <w:ind w:left="0" w:hanging="2"/>
        <w:rPr>
          <w:rFonts w:ascii="Arial" w:eastAsia="Arial" w:hAnsi="Arial" w:cs="Arial"/>
        </w:rPr>
      </w:pPr>
      <w:r>
        <w:rPr>
          <w:rFonts w:ascii="Arial" w:eastAsia="Arial" w:hAnsi="Arial" w:cs="Arial"/>
          <w:b/>
        </w:rPr>
        <w:t>Obveze Prijavitelja/korisnika potpore</w:t>
      </w:r>
    </w:p>
    <w:p w14:paraId="00000053" w14:textId="77777777" w:rsidR="00DD574C" w:rsidRDefault="00000000">
      <w:pPr>
        <w:spacing w:after="0" w:line="240" w:lineRule="auto"/>
        <w:ind w:left="0" w:hanging="2"/>
        <w:jc w:val="center"/>
        <w:rPr>
          <w:rFonts w:ascii="Arial" w:eastAsia="Arial" w:hAnsi="Arial" w:cs="Arial"/>
        </w:rPr>
      </w:pPr>
      <w:r>
        <w:rPr>
          <w:rFonts w:ascii="Arial" w:eastAsia="Arial" w:hAnsi="Arial" w:cs="Arial"/>
        </w:rPr>
        <w:t>Članak 11.</w:t>
      </w:r>
    </w:p>
    <w:p w14:paraId="00000054" w14:textId="77777777" w:rsidR="00DD574C" w:rsidRDefault="00000000">
      <w:pPr>
        <w:numPr>
          <w:ilvl w:val="0"/>
          <w:numId w:val="5"/>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Prijavitelj/korisnik potpore dužan je dostavljati TZGZ-u izvješća o realizaciji projekta za koji je dobio potporu, što će se utvrditi ugovorom o korištenju sredstava TZGZ-a.</w:t>
      </w:r>
    </w:p>
    <w:p w14:paraId="00000055" w14:textId="77777777" w:rsidR="00DD574C" w:rsidRDefault="00000000">
      <w:pPr>
        <w:numPr>
          <w:ilvl w:val="0"/>
          <w:numId w:val="5"/>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TZGZ ima pravo u svako doba, putem ovlaštenih osoba, pratiti i kontrolirati namjensko korištenje sredstava te izvršenje prava i obveza Prijavitelja/korisnika sredstava u skladu s odredbama sklopljenog ugovora o korištenju sredstava.</w:t>
      </w:r>
    </w:p>
    <w:p w14:paraId="00000056" w14:textId="77777777" w:rsidR="00DD574C" w:rsidRDefault="00000000">
      <w:pPr>
        <w:numPr>
          <w:ilvl w:val="0"/>
          <w:numId w:val="5"/>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Ukoliko Prijavitelj/korisnik kojemu je dodijeljena potpora ne koristi dodijeljena sredstva namjenski i/ili odustane od odobrenog projekta, a potpora je dodijeljena, TZGZ će pokrenuti postupak povrata potpore.</w:t>
      </w:r>
    </w:p>
    <w:p w14:paraId="00000057" w14:textId="77777777" w:rsidR="00DD574C" w:rsidRDefault="00000000">
      <w:pPr>
        <w:numPr>
          <w:ilvl w:val="0"/>
          <w:numId w:val="5"/>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Uvjete i način povrata potpore TZGZ će urediti u Ugovoru iz članka 20. ovog Programa.</w:t>
      </w:r>
    </w:p>
    <w:p w14:paraId="00000058" w14:textId="77777777" w:rsidR="00DD574C" w:rsidRDefault="00DD574C">
      <w:pPr>
        <w:pBdr>
          <w:top w:val="nil"/>
          <w:left w:val="nil"/>
          <w:bottom w:val="nil"/>
          <w:right w:val="nil"/>
          <w:between w:val="nil"/>
        </w:pBdr>
        <w:spacing w:after="0" w:line="240" w:lineRule="auto"/>
        <w:ind w:left="0" w:hanging="2"/>
        <w:jc w:val="both"/>
        <w:rPr>
          <w:rFonts w:ascii="Arial" w:eastAsia="Arial" w:hAnsi="Arial" w:cs="Arial"/>
          <w:color w:val="000000"/>
        </w:rPr>
      </w:pPr>
    </w:p>
    <w:p w14:paraId="00000059" w14:textId="77777777" w:rsidR="00DD574C" w:rsidRDefault="00000000">
      <w:pPr>
        <w:spacing w:after="0" w:line="240" w:lineRule="auto"/>
        <w:ind w:left="0" w:hanging="2"/>
        <w:rPr>
          <w:rFonts w:ascii="Arial" w:eastAsia="Arial" w:hAnsi="Arial" w:cs="Arial"/>
        </w:rPr>
      </w:pPr>
      <w:r>
        <w:rPr>
          <w:rFonts w:ascii="Arial" w:eastAsia="Arial" w:hAnsi="Arial" w:cs="Arial"/>
          <w:b/>
        </w:rPr>
        <w:t>Obveze TZGZ-a</w:t>
      </w:r>
    </w:p>
    <w:p w14:paraId="0000005A" w14:textId="77777777" w:rsidR="00DD574C" w:rsidRDefault="00000000">
      <w:pPr>
        <w:spacing w:after="0" w:line="240" w:lineRule="auto"/>
        <w:ind w:left="0" w:hanging="2"/>
        <w:jc w:val="center"/>
        <w:rPr>
          <w:rFonts w:ascii="Arial" w:eastAsia="Arial" w:hAnsi="Arial" w:cs="Arial"/>
        </w:rPr>
      </w:pPr>
      <w:r>
        <w:rPr>
          <w:rFonts w:ascii="Arial" w:eastAsia="Arial" w:hAnsi="Arial" w:cs="Arial"/>
        </w:rPr>
        <w:t>Članak 12.</w:t>
      </w:r>
    </w:p>
    <w:p w14:paraId="0000005B" w14:textId="77777777" w:rsidR="00DD574C" w:rsidRDefault="00000000">
      <w:pPr>
        <w:spacing w:after="0" w:line="240" w:lineRule="auto"/>
        <w:ind w:left="0" w:hanging="2"/>
        <w:jc w:val="both"/>
        <w:rPr>
          <w:rFonts w:ascii="Arial" w:eastAsia="Arial" w:hAnsi="Arial" w:cs="Arial"/>
        </w:rPr>
      </w:pPr>
      <w:r>
        <w:rPr>
          <w:rFonts w:ascii="Arial" w:eastAsia="Arial" w:hAnsi="Arial" w:cs="Arial"/>
        </w:rPr>
        <w:t>TZGZ je dužan:</w:t>
      </w:r>
    </w:p>
    <w:p w14:paraId="0000005C" w14:textId="77777777" w:rsidR="00DD574C" w:rsidRDefault="00000000">
      <w:pPr>
        <w:numPr>
          <w:ilvl w:val="0"/>
          <w:numId w:val="18"/>
        </w:numPr>
        <w:spacing w:after="0" w:line="240" w:lineRule="auto"/>
        <w:ind w:left="0" w:hanging="2"/>
        <w:jc w:val="both"/>
        <w:rPr>
          <w:rFonts w:ascii="Arial" w:eastAsia="Arial" w:hAnsi="Arial" w:cs="Arial"/>
        </w:rPr>
      </w:pPr>
      <w:r>
        <w:rPr>
          <w:rFonts w:ascii="Arial" w:eastAsia="Arial" w:hAnsi="Arial" w:cs="Arial"/>
        </w:rPr>
        <w:t xml:space="preserve">pisanim putem obavijestiti Prijavitelja/korisnika o dodijeljenom iznosu potpore izraženom u obliku bruto novčane potpore kao i o tome da mu je dodijeljena </w:t>
      </w:r>
      <w:r>
        <w:rPr>
          <w:rFonts w:ascii="Arial" w:eastAsia="Arial" w:hAnsi="Arial" w:cs="Arial"/>
          <w:i/>
        </w:rPr>
        <w:t xml:space="preserve">de </w:t>
      </w:r>
      <w:proofErr w:type="spellStart"/>
      <w:r>
        <w:rPr>
          <w:rFonts w:ascii="Arial" w:eastAsia="Arial" w:hAnsi="Arial" w:cs="Arial"/>
          <w:i/>
        </w:rPr>
        <w:t>minimis</w:t>
      </w:r>
      <w:proofErr w:type="spellEnd"/>
      <w:r>
        <w:rPr>
          <w:rFonts w:ascii="Arial" w:eastAsia="Arial" w:hAnsi="Arial" w:cs="Arial"/>
          <w:i/>
        </w:rPr>
        <w:t xml:space="preserve"> </w:t>
      </w:r>
      <w:r>
        <w:rPr>
          <w:rFonts w:ascii="Arial" w:eastAsia="Arial" w:hAnsi="Arial" w:cs="Arial"/>
        </w:rPr>
        <w:t>potpora, sve pozivajući se na Uredbu komisije 1407/2013,</w:t>
      </w:r>
    </w:p>
    <w:p w14:paraId="0000005D" w14:textId="77777777" w:rsidR="00DD574C" w:rsidRDefault="00000000">
      <w:pPr>
        <w:numPr>
          <w:ilvl w:val="0"/>
          <w:numId w:val="18"/>
        </w:numPr>
        <w:spacing w:after="0" w:line="240" w:lineRule="auto"/>
        <w:ind w:left="0" w:hanging="2"/>
        <w:jc w:val="both"/>
        <w:rPr>
          <w:rFonts w:ascii="Arial" w:eastAsia="Arial" w:hAnsi="Arial" w:cs="Arial"/>
        </w:rPr>
      </w:pPr>
      <w:r>
        <w:rPr>
          <w:rFonts w:ascii="Arial" w:eastAsia="Arial" w:hAnsi="Arial" w:cs="Arial"/>
        </w:rPr>
        <w:t xml:space="preserve">voditi evidenciju dodijeljenih </w:t>
      </w:r>
      <w:r>
        <w:rPr>
          <w:rFonts w:ascii="Arial" w:eastAsia="Arial" w:hAnsi="Arial" w:cs="Arial"/>
          <w:i/>
        </w:rPr>
        <w:t xml:space="preserve">de </w:t>
      </w:r>
      <w:proofErr w:type="spellStart"/>
      <w:r>
        <w:rPr>
          <w:rFonts w:ascii="Arial" w:eastAsia="Arial" w:hAnsi="Arial" w:cs="Arial"/>
          <w:i/>
        </w:rPr>
        <w:t>minimis</w:t>
      </w:r>
      <w:proofErr w:type="spellEnd"/>
      <w:r>
        <w:rPr>
          <w:rFonts w:ascii="Arial" w:eastAsia="Arial" w:hAnsi="Arial" w:cs="Arial"/>
        </w:rPr>
        <w:t xml:space="preserve"> potpora,</w:t>
      </w:r>
    </w:p>
    <w:p w14:paraId="0000005E" w14:textId="77777777" w:rsidR="00DD574C" w:rsidRDefault="00000000">
      <w:pPr>
        <w:numPr>
          <w:ilvl w:val="0"/>
          <w:numId w:val="18"/>
        </w:numPr>
        <w:spacing w:after="0" w:line="240" w:lineRule="auto"/>
        <w:ind w:left="0" w:hanging="2"/>
        <w:jc w:val="both"/>
        <w:rPr>
          <w:rFonts w:ascii="Arial" w:eastAsia="Arial" w:hAnsi="Arial" w:cs="Arial"/>
        </w:rPr>
      </w:pPr>
      <w:r>
        <w:rPr>
          <w:rFonts w:ascii="Arial" w:eastAsia="Arial" w:hAnsi="Arial" w:cs="Arial"/>
        </w:rPr>
        <w:t xml:space="preserve">godišnje dostaviti Ministarstvu financija podatke o dodijeljenim </w:t>
      </w:r>
      <w:r>
        <w:rPr>
          <w:rFonts w:ascii="Arial" w:eastAsia="Arial" w:hAnsi="Arial" w:cs="Arial"/>
          <w:i/>
        </w:rPr>
        <w:t xml:space="preserve">de </w:t>
      </w:r>
      <w:proofErr w:type="spellStart"/>
      <w:r>
        <w:rPr>
          <w:rFonts w:ascii="Arial" w:eastAsia="Arial" w:hAnsi="Arial" w:cs="Arial"/>
          <w:i/>
        </w:rPr>
        <w:t>minimis</w:t>
      </w:r>
      <w:proofErr w:type="spellEnd"/>
      <w:r>
        <w:rPr>
          <w:rFonts w:ascii="Arial" w:eastAsia="Arial" w:hAnsi="Arial" w:cs="Arial"/>
        </w:rPr>
        <w:t xml:space="preserve"> potporama na propisanim obrascima do 30. travnja tekuće godine za prethodnu godinu, a po potrebi i na zahtjev Ministarstva financija u za to određenom roku,</w:t>
      </w:r>
    </w:p>
    <w:p w14:paraId="0000005F" w14:textId="77777777" w:rsidR="00DD574C" w:rsidRDefault="00000000">
      <w:pPr>
        <w:numPr>
          <w:ilvl w:val="0"/>
          <w:numId w:val="18"/>
        </w:numPr>
        <w:spacing w:after="0" w:line="240" w:lineRule="auto"/>
        <w:ind w:left="0" w:hanging="2"/>
        <w:jc w:val="both"/>
        <w:rPr>
          <w:rFonts w:ascii="Arial" w:eastAsia="Arial" w:hAnsi="Arial" w:cs="Arial"/>
        </w:rPr>
      </w:pPr>
      <w:r>
        <w:rPr>
          <w:rFonts w:ascii="Arial" w:eastAsia="Arial" w:hAnsi="Arial" w:cs="Arial"/>
        </w:rPr>
        <w:t xml:space="preserve">čuvati podatke o dodijeljenim </w:t>
      </w:r>
      <w:r>
        <w:rPr>
          <w:rFonts w:ascii="Arial" w:eastAsia="Arial" w:hAnsi="Arial" w:cs="Arial"/>
          <w:i/>
        </w:rPr>
        <w:t xml:space="preserve">de </w:t>
      </w:r>
      <w:proofErr w:type="spellStart"/>
      <w:r>
        <w:rPr>
          <w:rFonts w:ascii="Arial" w:eastAsia="Arial" w:hAnsi="Arial" w:cs="Arial"/>
          <w:i/>
        </w:rPr>
        <w:t>minimis</w:t>
      </w:r>
      <w:proofErr w:type="spellEnd"/>
      <w:r>
        <w:rPr>
          <w:rFonts w:ascii="Arial" w:eastAsia="Arial" w:hAnsi="Arial" w:cs="Arial"/>
        </w:rPr>
        <w:t xml:space="preserve"> potporama deset godina od dana dodjele, sve sukladno posebnom propisu.</w:t>
      </w:r>
    </w:p>
    <w:p w14:paraId="00000060" w14:textId="77777777" w:rsidR="00DD574C" w:rsidRDefault="00DD574C">
      <w:pPr>
        <w:spacing w:after="0" w:line="240" w:lineRule="auto"/>
        <w:ind w:left="0" w:hanging="2"/>
        <w:rPr>
          <w:rFonts w:ascii="Arial" w:eastAsia="Arial" w:hAnsi="Arial" w:cs="Arial"/>
        </w:rPr>
      </w:pPr>
    </w:p>
    <w:p w14:paraId="00000061" w14:textId="77777777" w:rsidR="00DD574C" w:rsidRDefault="00DD574C">
      <w:pPr>
        <w:spacing w:after="0" w:line="240" w:lineRule="auto"/>
        <w:ind w:left="0" w:hanging="2"/>
        <w:rPr>
          <w:rFonts w:ascii="Arial" w:eastAsia="Arial" w:hAnsi="Arial" w:cs="Arial"/>
        </w:rPr>
      </w:pPr>
    </w:p>
    <w:p w14:paraId="00000062" w14:textId="77777777" w:rsidR="00DD574C" w:rsidRDefault="00DD574C">
      <w:pPr>
        <w:spacing w:after="0" w:line="240" w:lineRule="auto"/>
        <w:ind w:left="0" w:hanging="2"/>
        <w:rPr>
          <w:rFonts w:ascii="Arial" w:eastAsia="Arial" w:hAnsi="Arial" w:cs="Arial"/>
        </w:rPr>
      </w:pPr>
    </w:p>
    <w:p w14:paraId="00000063" w14:textId="77777777" w:rsidR="00DD574C" w:rsidRDefault="00DD574C">
      <w:pPr>
        <w:spacing w:after="0" w:line="240" w:lineRule="auto"/>
        <w:ind w:left="0" w:hanging="2"/>
        <w:rPr>
          <w:rFonts w:ascii="Arial" w:eastAsia="Arial" w:hAnsi="Arial" w:cs="Arial"/>
        </w:rPr>
      </w:pPr>
    </w:p>
    <w:p w14:paraId="00000064" w14:textId="77777777" w:rsidR="00DD574C" w:rsidRDefault="00DD574C">
      <w:pPr>
        <w:spacing w:after="0" w:line="240" w:lineRule="auto"/>
        <w:ind w:left="0" w:hanging="2"/>
        <w:rPr>
          <w:rFonts w:ascii="Arial" w:eastAsia="Arial" w:hAnsi="Arial" w:cs="Arial"/>
        </w:rPr>
      </w:pPr>
    </w:p>
    <w:p w14:paraId="00000065" w14:textId="77777777" w:rsidR="00DD574C" w:rsidRDefault="00000000">
      <w:pPr>
        <w:spacing w:after="0" w:line="240" w:lineRule="auto"/>
        <w:ind w:left="0" w:hanging="2"/>
        <w:rPr>
          <w:rFonts w:ascii="Arial" w:eastAsia="Arial" w:hAnsi="Arial" w:cs="Arial"/>
        </w:rPr>
      </w:pPr>
      <w:r>
        <w:rPr>
          <w:rFonts w:ascii="Arial" w:eastAsia="Arial" w:hAnsi="Arial" w:cs="Arial"/>
          <w:b/>
        </w:rPr>
        <w:t>Predmet Javnog poziva</w:t>
      </w:r>
    </w:p>
    <w:p w14:paraId="00000066" w14:textId="77777777" w:rsidR="00DD574C" w:rsidRDefault="00000000">
      <w:pPr>
        <w:spacing w:after="0" w:line="240" w:lineRule="auto"/>
        <w:ind w:left="0" w:hanging="2"/>
        <w:jc w:val="center"/>
        <w:rPr>
          <w:rFonts w:ascii="Arial" w:eastAsia="Arial" w:hAnsi="Arial" w:cs="Arial"/>
        </w:rPr>
      </w:pPr>
      <w:r>
        <w:rPr>
          <w:rFonts w:ascii="Arial" w:eastAsia="Arial" w:hAnsi="Arial" w:cs="Arial"/>
        </w:rPr>
        <w:t>Članak 13.</w:t>
      </w:r>
    </w:p>
    <w:p w14:paraId="00000067" w14:textId="77777777" w:rsidR="00DD574C" w:rsidRDefault="00000000">
      <w:pPr>
        <w:numPr>
          <w:ilvl w:val="0"/>
          <w:numId w:val="6"/>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Na temelju ovog Programa TZGZ će objaviti Javni poziv za dostavu projektnih prijedloga (u nastavku; Javni poziv) za sufinanciranje projekata, manifestacija, marketinških projekata, skupova i kandidatura u 202</w:t>
      </w:r>
      <w:r>
        <w:rPr>
          <w:rFonts w:ascii="Arial" w:eastAsia="Arial" w:hAnsi="Arial" w:cs="Arial"/>
        </w:rPr>
        <w:t>3</w:t>
      </w:r>
      <w:r>
        <w:rPr>
          <w:rFonts w:ascii="Arial" w:eastAsia="Arial" w:hAnsi="Arial" w:cs="Arial"/>
          <w:color w:val="000000"/>
        </w:rPr>
        <w:t>. godini iz članka 4. ovog Programa.</w:t>
      </w:r>
    </w:p>
    <w:p w14:paraId="00000068" w14:textId="77777777" w:rsidR="00DD574C" w:rsidRDefault="00000000">
      <w:pPr>
        <w:numPr>
          <w:ilvl w:val="0"/>
          <w:numId w:val="6"/>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Raspoloživi iznos sredstava za potpore iz članka 3. u 202</w:t>
      </w:r>
      <w:r>
        <w:rPr>
          <w:rFonts w:ascii="Arial" w:eastAsia="Arial" w:hAnsi="Arial" w:cs="Arial"/>
        </w:rPr>
        <w:t>3</w:t>
      </w:r>
      <w:r>
        <w:rPr>
          <w:rFonts w:ascii="Arial" w:eastAsia="Arial" w:hAnsi="Arial" w:cs="Arial"/>
          <w:color w:val="000000"/>
        </w:rPr>
        <w:t xml:space="preserve">. iznosi </w:t>
      </w:r>
      <w:r>
        <w:rPr>
          <w:rFonts w:ascii="Arial" w:eastAsia="Arial" w:hAnsi="Arial" w:cs="Arial"/>
        </w:rPr>
        <w:t>2</w:t>
      </w:r>
      <w:r>
        <w:rPr>
          <w:rFonts w:ascii="Arial" w:eastAsia="Arial" w:hAnsi="Arial" w:cs="Arial"/>
          <w:color w:val="000000"/>
        </w:rPr>
        <w:t>.000.000,00 HRK. Iznos će biti konkretiziran u Programu rada za 202</w:t>
      </w:r>
      <w:r>
        <w:rPr>
          <w:rFonts w:ascii="Arial" w:eastAsia="Arial" w:hAnsi="Arial" w:cs="Arial"/>
        </w:rPr>
        <w:t>3</w:t>
      </w:r>
      <w:r>
        <w:rPr>
          <w:rFonts w:ascii="Arial" w:eastAsia="Arial" w:hAnsi="Arial" w:cs="Arial"/>
          <w:color w:val="000000"/>
        </w:rPr>
        <w:t>. godinu, a sukladno svim okolnostima koje utječu ili će utjecati na turizam.</w:t>
      </w:r>
    </w:p>
    <w:p w14:paraId="00000069" w14:textId="77777777" w:rsidR="00DD574C" w:rsidRDefault="00DD574C">
      <w:pPr>
        <w:pBdr>
          <w:top w:val="nil"/>
          <w:left w:val="nil"/>
          <w:bottom w:val="nil"/>
          <w:right w:val="nil"/>
          <w:between w:val="nil"/>
        </w:pBdr>
        <w:spacing w:after="0" w:line="240" w:lineRule="auto"/>
        <w:ind w:left="0" w:hanging="2"/>
        <w:jc w:val="center"/>
        <w:rPr>
          <w:rFonts w:ascii="Arial" w:eastAsia="Arial" w:hAnsi="Arial" w:cs="Arial"/>
          <w:color w:val="000000"/>
        </w:rPr>
      </w:pPr>
    </w:p>
    <w:p w14:paraId="0000006A" w14:textId="77777777" w:rsidR="00DD574C" w:rsidRDefault="00000000">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Članak 14.</w:t>
      </w:r>
    </w:p>
    <w:p w14:paraId="0000006B" w14:textId="77777777" w:rsidR="00DD574C" w:rsidRDefault="00000000">
      <w:pPr>
        <w:numPr>
          <w:ilvl w:val="0"/>
          <w:numId w:val="7"/>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Javni poziv se objavljuje na službenim web-stranicama TZGZ-a.</w:t>
      </w:r>
    </w:p>
    <w:p w14:paraId="0000006C" w14:textId="77777777" w:rsidR="00DD574C" w:rsidRDefault="00000000">
      <w:pPr>
        <w:numPr>
          <w:ilvl w:val="0"/>
          <w:numId w:val="7"/>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Javnim pozivom se naročito određuje sljedeće:</w:t>
      </w:r>
    </w:p>
    <w:p w14:paraId="0000006D" w14:textId="77777777" w:rsidR="00DD574C" w:rsidRDefault="00000000">
      <w:pPr>
        <w:numPr>
          <w:ilvl w:val="0"/>
          <w:numId w:val="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predmet Javnog poziva,</w:t>
      </w:r>
    </w:p>
    <w:p w14:paraId="0000006E" w14:textId="77777777" w:rsidR="00DD574C" w:rsidRDefault="00000000">
      <w:pPr>
        <w:numPr>
          <w:ilvl w:val="0"/>
          <w:numId w:val="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dokumentacija koja čini Prijavu,</w:t>
      </w:r>
    </w:p>
    <w:p w14:paraId="0000006F" w14:textId="77777777" w:rsidR="00DD574C" w:rsidRDefault="00000000">
      <w:pPr>
        <w:numPr>
          <w:ilvl w:val="0"/>
          <w:numId w:val="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posebni uvjeti koje korisnici moraju zadovoljavati po pojedinoj aktivnosti,</w:t>
      </w:r>
    </w:p>
    <w:p w14:paraId="00000070" w14:textId="77777777" w:rsidR="00DD574C" w:rsidRDefault="00000000">
      <w:pPr>
        <w:numPr>
          <w:ilvl w:val="0"/>
          <w:numId w:val="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prihvatljivi i neprihvatljivi troškovi,</w:t>
      </w:r>
    </w:p>
    <w:p w14:paraId="00000071" w14:textId="77777777" w:rsidR="00DD574C" w:rsidRDefault="00000000">
      <w:pPr>
        <w:numPr>
          <w:ilvl w:val="0"/>
          <w:numId w:val="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rokovi, način i uvjeti za podnošenje Prijava,</w:t>
      </w:r>
    </w:p>
    <w:p w14:paraId="00000072" w14:textId="77777777" w:rsidR="00DD574C" w:rsidRDefault="00000000">
      <w:pPr>
        <w:numPr>
          <w:ilvl w:val="0"/>
          <w:numId w:val="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način isplate potpore.</w:t>
      </w:r>
    </w:p>
    <w:p w14:paraId="00000073" w14:textId="77777777" w:rsidR="00DD574C" w:rsidRDefault="00DD574C">
      <w:pPr>
        <w:pBdr>
          <w:top w:val="nil"/>
          <w:left w:val="nil"/>
          <w:bottom w:val="nil"/>
          <w:right w:val="nil"/>
          <w:between w:val="nil"/>
        </w:pBdr>
        <w:spacing w:after="0" w:line="240" w:lineRule="auto"/>
        <w:ind w:left="0" w:hanging="2"/>
        <w:jc w:val="both"/>
        <w:rPr>
          <w:rFonts w:ascii="Arial" w:eastAsia="Arial" w:hAnsi="Arial" w:cs="Arial"/>
          <w:color w:val="000000"/>
        </w:rPr>
      </w:pPr>
    </w:p>
    <w:p w14:paraId="00000074" w14:textId="77777777" w:rsidR="00DD574C" w:rsidRDefault="00DD574C">
      <w:pPr>
        <w:pBdr>
          <w:top w:val="nil"/>
          <w:left w:val="nil"/>
          <w:bottom w:val="nil"/>
          <w:right w:val="nil"/>
          <w:between w:val="nil"/>
        </w:pBdr>
        <w:spacing w:after="0" w:line="240" w:lineRule="auto"/>
        <w:ind w:left="0" w:hanging="2"/>
        <w:jc w:val="both"/>
        <w:rPr>
          <w:rFonts w:ascii="Arial" w:eastAsia="Arial" w:hAnsi="Arial" w:cs="Arial"/>
          <w:color w:val="000000"/>
        </w:rPr>
      </w:pPr>
    </w:p>
    <w:p w14:paraId="00000075" w14:textId="77777777" w:rsidR="00DD574C" w:rsidRDefault="00000000">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b/>
          <w:color w:val="000000"/>
        </w:rPr>
        <w:t>Prijava projektnih prijedloga</w:t>
      </w:r>
    </w:p>
    <w:p w14:paraId="00000076" w14:textId="77777777" w:rsidR="00DD574C" w:rsidRDefault="00000000">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Članak 15.</w:t>
      </w:r>
    </w:p>
    <w:p w14:paraId="00000077" w14:textId="77777777" w:rsidR="00DD574C" w:rsidRDefault="00000000">
      <w:pPr>
        <w:numPr>
          <w:ilvl w:val="0"/>
          <w:numId w:val="4"/>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Prijava se podnosi na temelju Javnog poziva iz članka 14. ovog Programa.</w:t>
      </w:r>
    </w:p>
    <w:p w14:paraId="00000078" w14:textId="77777777" w:rsidR="00DD574C" w:rsidRDefault="00000000">
      <w:pPr>
        <w:numPr>
          <w:ilvl w:val="0"/>
          <w:numId w:val="4"/>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Prijave se dostavljaju putem Obrasca koji se nalazi na sljedećoj poveznici: http://digitalna-prijava.tzgz.hr i njegov su sastavni dio, zajedno s propisanom dokumentacijom, isključivo putem elektronskog obrasca.</w:t>
      </w:r>
    </w:p>
    <w:p w14:paraId="00000079" w14:textId="77777777" w:rsidR="00DD574C" w:rsidRDefault="00DD574C">
      <w:pPr>
        <w:pBdr>
          <w:top w:val="nil"/>
          <w:left w:val="nil"/>
          <w:bottom w:val="nil"/>
          <w:right w:val="nil"/>
          <w:between w:val="nil"/>
        </w:pBdr>
        <w:spacing w:after="0" w:line="240" w:lineRule="auto"/>
        <w:ind w:left="0" w:hanging="2"/>
        <w:jc w:val="both"/>
        <w:rPr>
          <w:rFonts w:ascii="Arial" w:eastAsia="Arial" w:hAnsi="Arial" w:cs="Arial"/>
          <w:color w:val="000000"/>
        </w:rPr>
      </w:pPr>
    </w:p>
    <w:p w14:paraId="0000007A" w14:textId="77777777" w:rsidR="00DD574C" w:rsidRDefault="00000000">
      <w:pPr>
        <w:spacing w:after="0" w:line="240" w:lineRule="auto"/>
        <w:ind w:left="0" w:hanging="2"/>
        <w:rPr>
          <w:rFonts w:ascii="Arial" w:eastAsia="Arial" w:hAnsi="Arial" w:cs="Arial"/>
        </w:rPr>
      </w:pPr>
      <w:r>
        <w:rPr>
          <w:rFonts w:ascii="Arial" w:eastAsia="Arial" w:hAnsi="Arial" w:cs="Arial"/>
          <w:b/>
        </w:rPr>
        <w:t>Dokumentacija</w:t>
      </w:r>
    </w:p>
    <w:p w14:paraId="0000007B" w14:textId="77777777" w:rsidR="00DD574C" w:rsidRDefault="00000000">
      <w:pPr>
        <w:spacing w:after="0" w:line="240" w:lineRule="auto"/>
        <w:ind w:left="0" w:hanging="2"/>
        <w:jc w:val="center"/>
        <w:rPr>
          <w:rFonts w:ascii="Arial" w:eastAsia="Arial" w:hAnsi="Arial" w:cs="Arial"/>
        </w:rPr>
      </w:pPr>
      <w:r>
        <w:rPr>
          <w:rFonts w:ascii="Arial" w:eastAsia="Arial" w:hAnsi="Arial" w:cs="Arial"/>
        </w:rPr>
        <w:t>Članak 16.</w:t>
      </w:r>
    </w:p>
    <w:p w14:paraId="0000007C" w14:textId="77777777" w:rsidR="00DD574C" w:rsidRDefault="00000000">
      <w:pPr>
        <w:spacing w:after="0" w:line="240" w:lineRule="auto"/>
        <w:ind w:left="0" w:hanging="2"/>
        <w:jc w:val="both"/>
        <w:rPr>
          <w:rFonts w:ascii="Arial" w:eastAsia="Arial" w:hAnsi="Arial" w:cs="Arial"/>
        </w:rPr>
      </w:pPr>
      <w:r>
        <w:rPr>
          <w:rFonts w:ascii="Arial" w:eastAsia="Arial" w:hAnsi="Arial" w:cs="Arial"/>
        </w:rPr>
        <w:t>Osim izjave iz članka 8. stavka 4. ovog Programa, TZGZ će u Javnom pozivu za svaku od predviđenih aktivnosti iz članka 4. ovog Programa, propisati koju dokumentaciju Prijavitelji/korisnici moraju dostaviti prilikom podnošenja Prijave projektnih prijedloga.</w:t>
      </w:r>
    </w:p>
    <w:p w14:paraId="0000007D" w14:textId="77777777" w:rsidR="00DD574C" w:rsidRDefault="00DD574C">
      <w:pPr>
        <w:spacing w:after="0" w:line="240" w:lineRule="auto"/>
        <w:ind w:left="0" w:hanging="2"/>
        <w:jc w:val="both"/>
        <w:rPr>
          <w:rFonts w:ascii="Arial" w:eastAsia="Arial" w:hAnsi="Arial" w:cs="Arial"/>
        </w:rPr>
      </w:pPr>
    </w:p>
    <w:p w14:paraId="0000007E" w14:textId="77777777" w:rsidR="00DD574C" w:rsidRDefault="00000000">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b/>
          <w:color w:val="000000"/>
        </w:rPr>
        <w:t xml:space="preserve">Obrada Prijava  </w:t>
      </w:r>
    </w:p>
    <w:p w14:paraId="0000007F" w14:textId="77777777" w:rsidR="00DD574C" w:rsidRDefault="00000000">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Članak 17.</w:t>
      </w:r>
    </w:p>
    <w:p w14:paraId="00000080" w14:textId="77777777" w:rsidR="00DD574C" w:rsidRDefault="00000000">
      <w:pPr>
        <w:numPr>
          <w:ilvl w:val="0"/>
          <w:numId w:val="2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Obradu Prijava obavlja Radna skupina koju čine najmanje tri člana iz redova zaposlenika u sektoru nadležnom za obradu Prijava.</w:t>
      </w:r>
    </w:p>
    <w:p w14:paraId="00000081" w14:textId="77777777" w:rsidR="00DD574C" w:rsidRDefault="00000000">
      <w:pPr>
        <w:numPr>
          <w:ilvl w:val="0"/>
          <w:numId w:val="2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Prilikom obrade Prijava utvrđuje se pravovremenost, potpunost i udovoljavanje Prijave uvjetima propisanim ovim Programom i Javnim pozivom. Prijava zaprimljena nakon isteka propisanog roka neće se razmatrati.</w:t>
      </w:r>
    </w:p>
    <w:p w14:paraId="00000082" w14:textId="77777777" w:rsidR="00DD574C" w:rsidRDefault="00000000">
      <w:pPr>
        <w:numPr>
          <w:ilvl w:val="0"/>
          <w:numId w:val="2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Ako je Prijava pravodobno podnesena, ali se utvrdi da neki podaci nedostaju, TZGZ je ovlašten zatražiti dopunu kojom se od Prijavitelja traži dostavljanje dodatnih podataka ili ispravak potrebnih podataka u za to određenom roku.</w:t>
      </w:r>
    </w:p>
    <w:p w14:paraId="00000083" w14:textId="77777777" w:rsidR="00DD574C" w:rsidRDefault="00000000">
      <w:pPr>
        <w:numPr>
          <w:ilvl w:val="0"/>
          <w:numId w:val="2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Prijavitelj je dužan dostaviti dopunu preporučenom poštom s povratnicom u roku od pet dana od dana zaprimanja Zahtjeva za dopunu. Nedostavljena dopuna ili dopuna prijave dostavljena nakon proteka roka za dostavu dopuna smatra se nepotpunom prijavom.</w:t>
      </w:r>
    </w:p>
    <w:p w14:paraId="00000084" w14:textId="77777777" w:rsidR="00DD574C" w:rsidRDefault="00000000">
      <w:pPr>
        <w:numPr>
          <w:ilvl w:val="0"/>
          <w:numId w:val="21"/>
        </w:num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rFonts w:ascii="Arial" w:eastAsia="Arial" w:hAnsi="Arial" w:cs="Arial"/>
          <w:color w:val="000000"/>
        </w:rPr>
        <w:t xml:space="preserve">Prijava koja nije dostavljena putem digitalnog obrasca sukladno Javnom pozivu neće se razmatrati. </w:t>
      </w:r>
    </w:p>
    <w:p w14:paraId="00000085" w14:textId="77777777" w:rsidR="00DD574C" w:rsidRDefault="00000000">
      <w:pPr>
        <w:numPr>
          <w:ilvl w:val="0"/>
          <w:numId w:val="2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Potpune, na propisani način dostavljene te pravovremeno dopunjene Prijave ulaze u daljnju obradu.</w:t>
      </w:r>
    </w:p>
    <w:p w14:paraId="00000086" w14:textId="77777777" w:rsidR="00DD574C" w:rsidRDefault="00000000">
      <w:pPr>
        <w:numPr>
          <w:ilvl w:val="0"/>
          <w:numId w:val="2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Nakon obrade svake pristigle Prijave, u slučaju potrebe za rangiranjem, utvrdit će se rang − lista Prijava, u padajućem nizu, sukladno utvrđenim kriterijima. TZGZ će s obzirom na </w:t>
      </w:r>
      <w:r>
        <w:rPr>
          <w:rFonts w:ascii="Arial" w:eastAsia="Arial" w:hAnsi="Arial" w:cs="Arial"/>
          <w:color w:val="000000"/>
        </w:rPr>
        <w:lastRenderedPageBreak/>
        <w:t>raspoloživa sredstva i utvrđenoj rang listi utvrditi koji poduzetnici imaju pravo na dobivanje potpore.</w:t>
      </w:r>
    </w:p>
    <w:p w14:paraId="00000087" w14:textId="77777777" w:rsidR="00DD574C" w:rsidRDefault="00000000">
      <w:pPr>
        <w:numPr>
          <w:ilvl w:val="0"/>
          <w:numId w:val="2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Prilikom obrade Prijava, TZGZ provjerava i dostupne podatke potrebne za donošenje konačne odluke o dodjeli potpore od drugih javnih tijela koja vode službenu evidenciju sukladno posebnim propisima.</w:t>
      </w:r>
    </w:p>
    <w:p w14:paraId="00000088" w14:textId="77777777" w:rsidR="00DD574C" w:rsidRDefault="00DD574C">
      <w:pPr>
        <w:pBdr>
          <w:top w:val="nil"/>
          <w:left w:val="nil"/>
          <w:bottom w:val="nil"/>
          <w:right w:val="nil"/>
          <w:between w:val="nil"/>
        </w:pBdr>
        <w:spacing w:after="0" w:line="240" w:lineRule="auto"/>
        <w:ind w:left="0" w:hanging="2"/>
        <w:jc w:val="both"/>
        <w:rPr>
          <w:rFonts w:ascii="Arial" w:eastAsia="Arial" w:hAnsi="Arial" w:cs="Arial"/>
          <w:color w:val="000000"/>
        </w:rPr>
      </w:pPr>
    </w:p>
    <w:p w14:paraId="00000089" w14:textId="77777777" w:rsidR="00DD574C" w:rsidRDefault="00000000">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b/>
          <w:color w:val="000000"/>
        </w:rPr>
        <w:t>Donošenje odluka</w:t>
      </w:r>
    </w:p>
    <w:p w14:paraId="0000008A" w14:textId="77777777" w:rsidR="00DD574C" w:rsidRDefault="00000000">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Članak 18.</w:t>
      </w:r>
    </w:p>
    <w:p w14:paraId="0000008B" w14:textId="77777777" w:rsidR="00DD574C" w:rsidRDefault="00000000">
      <w:pPr>
        <w:numPr>
          <w:ilvl w:val="0"/>
          <w:numId w:val="1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Nakon obrade Prijave, sastavlja se prijedlog odluke o dodjeli potpore za prijavitelje čiji projekti i aktivnosti zadovoljavaju sve uvjete i kriterije za dodjelu, a prijedlog te odluke je sastavni dio Prijedloga programa za 202</w:t>
      </w:r>
      <w:r>
        <w:rPr>
          <w:rFonts w:ascii="Arial" w:eastAsia="Arial" w:hAnsi="Arial" w:cs="Arial"/>
        </w:rPr>
        <w:t>3</w:t>
      </w:r>
      <w:r>
        <w:rPr>
          <w:rFonts w:ascii="Arial" w:eastAsia="Arial" w:hAnsi="Arial" w:cs="Arial"/>
          <w:color w:val="000000"/>
        </w:rPr>
        <w:t>. godinu koji Prijedlog donosi Turističko vijeće TZGZ-a.</w:t>
      </w:r>
    </w:p>
    <w:p w14:paraId="0000008C" w14:textId="77777777" w:rsidR="00DD574C" w:rsidRDefault="00000000">
      <w:pPr>
        <w:numPr>
          <w:ilvl w:val="0"/>
          <w:numId w:val="1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Odluku o dodjeli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i/>
          <w:color w:val="000000"/>
        </w:rPr>
        <w:t xml:space="preserve"> </w:t>
      </w:r>
      <w:r>
        <w:rPr>
          <w:rFonts w:ascii="Arial" w:eastAsia="Arial" w:hAnsi="Arial" w:cs="Arial"/>
          <w:color w:val="000000"/>
        </w:rPr>
        <w:t>potpore koja je sastavni dio Programa rada za 202</w:t>
      </w:r>
      <w:r>
        <w:rPr>
          <w:rFonts w:ascii="Arial" w:eastAsia="Arial" w:hAnsi="Arial" w:cs="Arial"/>
        </w:rPr>
        <w:t>3</w:t>
      </w:r>
      <w:r>
        <w:rPr>
          <w:rFonts w:ascii="Arial" w:eastAsia="Arial" w:hAnsi="Arial" w:cs="Arial"/>
          <w:color w:val="000000"/>
        </w:rPr>
        <w:t xml:space="preserve">. godinu donosi Skupština TZGZ-a prilikom usvajanja tog Programa. </w:t>
      </w:r>
    </w:p>
    <w:p w14:paraId="0000008D" w14:textId="77777777" w:rsidR="00DD574C" w:rsidRDefault="00000000">
      <w:pPr>
        <w:numPr>
          <w:ilvl w:val="0"/>
          <w:numId w:val="11"/>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TZGZ će dodijeliti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potporu u skladu s ovim Programom tek nakon što utvrdi da to neće povisiti ukupan iznos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potpora koji je taj poduzetnik primio do razine koja premašuje odgovarajuću gornju granicu iz članka 8. ovog Programa i da su ispunjeni svi uvjeti predviđeni ovim Programom.</w:t>
      </w:r>
    </w:p>
    <w:p w14:paraId="0000008E" w14:textId="77777777" w:rsidR="00DD574C" w:rsidRDefault="00DD574C">
      <w:pPr>
        <w:pBdr>
          <w:top w:val="nil"/>
          <w:left w:val="nil"/>
          <w:bottom w:val="nil"/>
          <w:right w:val="nil"/>
          <w:between w:val="nil"/>
        </w:pBdr>
        <w:spacing w:after="0" w:line="240" w:lineRule="auto"/>
        <w:ind w:left="0" w:hanging="2"/>
        <w:jc w:val="center"/>
        <w:rPr>
          <w:rFonts w:ascii="Arial" w:eastAsia="Arial" w:hAnsi="Arial" w:cs="Arial"/>
          <w:color w:val="000000"/>
        </w:rPr>
      </w:pPr>
    </w:p>
    <w:p w14:paraId="0000008F" w14:textId="77777777" w:rsidR="00DD574C" w:rsidRDefault="00000000">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Članak 19.</w:t>
      </w:r>
    </w:p>
    <w:p w14:paraId="00000090" w14:textId="77777777" w:rsidR="00DD574C" w:rsidRDefault="00000000">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Potpora se ne dodjeljuje prijaviteljima za projekte i aktivnosti ako:</w:t>
      </w:r>
    </w:p>
    <w:p w14:paraId="00000091" w14:textId="77777777" w:rsidR="00DD574C" w:rsidRDefault="00000000">
      <w:pPr>
        <w:spacing w:after="0" w:line="240" w:lineRule="auto"/>
        <w:ind w:left="0" w:hanging="2"/>
        <w:jc w:val="both"/>
        <w:rPr>
          <w:rFonts w:ascii="Arial" w:eastAsia="Arial" w:hAnsi="Arial" w:cs="Arial"/>
        </w:rPr>
      </w:pPr>
      <w:r>
        <w:rPr>
          <w:rFonts w:ascii="Arial" w:eastAsia="Arial" w:hAnsi="Arial" w:cs="Arial"/>
        </w:rPr>
        <w:t>- ne udovoljavaju uvjetima i kriterijima propisanim ovim Programom i Javnim pozivom,</w:t>
      </w:r>
    </w:p>
    <w:p w14:paraId="00000092" w14:textId="77777777" w:rsidR="00DD574C" w:rsidRDefault="00000000">
      <w:pPr>
        <w:spacing w:after="0" w:line="240" w:lineRule="auto"/>
        <w:ind w:left="0" w:hanging="2"/>
        <w:jc w:val="both"/>
        <w:rPr>
          <w:rFonts w:ascii="Arial" w:eastAsia="Arial" w:hAnsi="Arial" w:cs="Arial"/>
        </w:rPr>
      </w:pPr>
      <w:r>
        <w:rPr>
          <w:rFonts w:ascii="Arial" w:eastAsia="Arial" w:hAnsi="Arial" w:cs="Arial"/>
        </w:rPr>
        <w:t>- podaci iz prijave se ne odnose na aktivnosti iz članka 3. Programa ili ako su ti podaci nevjerodostojni,</w:t>
      </w:r>
    </w:p>
    <w:p w14:paraId="00000093" w14:textId="77777777" w:rsidR="00DD574C" w:rsidRDefault="00000000">
      <w:pPr>
        <w:spacing w:after="0" w:line="240" w:lineRule="auto"/>
        <w:ind w:left="0" w:hanging="2"/>
        <w:jc w:val="both"/>
        <w:rPr>
          <w:rFonts w:ascii="Arial" w:eastAsia="Arial" w:hAnsi="Arial" w:cs="Arial"/>
        </w:rPr>
      </w:pPr>
      <w:r>
        <w:rPr>
          <w:rFonts w:ascii="Arial" w:eastAsia="Arial" w:hAnsi="Arial" w:cs="Arial"/>
        </w:rPr>
        <w:t>- projekti nisu sukladni s postojećom dokumentacijom i/ili drugim važećim propisima,</w:t>
      </w:r>
    </w:p>
    <w:p w14:paraId="00000094" w14:textId="77777777" w:rsidR="00DD574C" w:rsidRDefault="00000000">
      <w:pPr>
        <w:spacing w:after="0" w:line="240" w:lineRule="auto"/>
        <w:ind w:left="0" w:hanging="2"/>
        <w:jc w:val="both"/>
        <w:rPr>
          <w:rFonts w:ascii="Arial" w:eastAsia="Arial" w:hAnsi="Arial" w:cs="Arial"/>
        </w:rPr>
      </w:pPr>
      <w:r>
        <w:rPr>
          <w:rFonts w:ascii="Arial" w:eastAsia="Arial" w:hAnsi="Arial" w:cs="Arial"/>
        </w:rPr>
        <w:t>- nisu izvršene zakonske i ugovorne obveze prema državi, institucijama svih razina ili su nenamjenski iskoristili prethodnu dodijeljenu potporu.</w:t>
      </w:r>
    </w:p>
    <w:p w14:paraId="00000095" w14:textId="77777777" w:rsidR="00DD574C" w:rsidRDefault="00DD574C">
      <w:pPr>
        <w:spacing w:after="0" w:line="240" w:lineRule="auto"/>
        <w:ind w:left="0" w:hanging="2"/>
        <w:rPr>
          <w:rFonts w:ascii="Arial" w:eastAsia="Arial" w:hAnsi="Arial" w:cs="Arial"/>
        </w:rPr>
      </w:pPr>
    </w:p>
    <w:p w14:paraId="00000096" w14:textId="77777777" w:rsidR="00DD574C" w:rsidRDefault="00000000">
      <w:pPr>
        <w:spacing w:after="0" w:line="240" w:lineRule="auto"/>
        <w:ind w:left="0" w:hanging="2"/>
        <w:jc w:val="both"/>
        <w:rPr>
          <w:rFonts w:ascii="Arial" w:eastAsia="Arial" w:hAnsi="Arial" w:cs="Arial"/>
        </w:rPr>
      </w:pPr>
      <w:r>
        <w:rPr>
          <w:rFonts w:ascii="Arial" w:eastAsia="Arial" w:hAnsi="Arial" w:cs="Arial"/>
          <w:b/>
        </w:rPr>
        <w:t>Ugovor o dodjeli potpore</w:t>
      </w:r>
    </w:p>
    <w:p w14:paraId="00000097" w14:textId="77777777" w:rsidR="00DD574C" w:rsidRDefault="00000000">
      <w:pPr>
        <w:spacing w:after="0" w:line="240" w:lineRule="auto"/>
        <w:ind w:left="0" w:hanging="2"/>
        <w:jc w:val="center"/>
        <w:rPr>
          <w:rFonts w:ascii="Arial" w:eastAsia="Arial" w:hAnsi="Arial" w:cs="Arial"/>
        </w:rPr>
      </w:pPr>
      <w:r>
        <w:rPr>
          <w:rFonts w:ascii="Arial" w:eastAsia="Arial" w:hAnsi="Arial" w:cs="Arial"/>
        </w:rPr>
        <w:t>Članak 20.</w:t>
      </w:r>
    </w:p>
    <w:p w14:paraId="00000098" w14:textId="77777777" w:rsidR="00DD574C" w:rsidRDefault="00000000">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Ugovorom se naročito uređuje:</w:t>
      </w:r>
    </w:p>
    <w:p w14:paraId="00000099" w14:textId="77777777" w:rsidR="00DD574C" w:rsidRDefault="00000000">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a) točan udio i visina odobrene potpore;</w:t>
      </w:r>
    </w:p>
    <w:p w14:paraId="0000009A" w14:textId="77777777" w:rsidR="00DD574C" w:rsidRDefault="00000000">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b) namjena dodijeljene potpore;</w:t>
      </w:r>
    </w:p>
    <w:p w14:paraId="0000009B" w14:textId="77777777" w:rsidR="00DD574C" w:rsidRDefault="00000000">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c) način isplate potpore;</w:t>
      </w:r>
    </w:p>
    <w:p w14:paraId="0000009C" w14:textId="77777777" w:rsidR="00DD574C" w:rsidRDefault="00000000">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d) obveza čuvanja dokumentacije koja se odnosi na predmet potpore sljedećih deset godina od datuma konačne isplate potpore;</w:t>
      </w:r>
    </w:p>
    <w:p w14:paraId="0000009D" w14:textId="77777777" w:rsidR="00DD574C" w:rsidRDefault="00000000">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e) način i postupak izvještavanja;</w:t>
      </w:r>
    </w:p>
    <w:p w14:paraId="0000009E" w14:textId="77777777" w:rsidR="00DD574C" w:rsidRDefault="00000000">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f)</w:t>
      </w:r>
      <w:r>
        <w:rPr>
          <w:rFonts w:ascii="Arial" w:eastAsia="Arial" w:hAnsi="Arial" w:cs="Arial"/>
        </w:rPr>
        <w:t xml:space="preserve"> </w:t>
      </w:r>
      <w:r>
        <w:rPr>
          <w:rFonts w:ascii="Arial" w:eastAsia="Arial" w:hAnsi="Arial" w:cs="Arial"/>
          <w:color w:val="000000"/>
        </w:rPr>
        <w:t>obveza Prijavitelja/korisnika da dopusti u svakom trenutku nesmetan pristup i kontrolu TZGZ-a o namjenskom korištenju potpore;</w:t>
      </w:r>
    </w:p>
    <w:p w14:paraId="0000009F" w14:textId="77777777" w:rsidR="00DD574C" w:rsidRDefault="00000000">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g) postupanje u slučaju nastupanja nepredviđenih okolnosti tijekom izvršenja Ugovora;</w:t>
      </w:r>
    </w:p>
    <w:p w14:paraId="000000A0" w14:textId="77777777" w:rsidR="00DD574C" w:rsidRDefault="00000000">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h) povrat dodijeljene potpore;</w:t>
      </w:r>
    </w:p>
    <w:p w14:paraId="000000A1" w14:textId="77777777" w:rsidR="00DD574C" w:rsidRDefault="00000000">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i) odredbe o raskidu Ugovora;</w:t>
      </w:r>
    </w:p>
    <w:p w14:paraId="000000A2" w14:textId="77777777" w:rsidR="00DD574C" w:rsidRDefault="00000000">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j) nadležni sud u slučaju spora.</w:t>
      </w:r>
    </w:p>
    <w:p w14:paraId="000000A3" w14:textId="77777777" w:rsidR="00DD574C" w:rsidRDefault="00DD574C">
      <w:pPr>
        <w:pBdr>
          <w:top w:val="nil"/>
          <w:left w:val="nil"/>
          <w:bottom w:val="nil"/>
          <w:right w:val="nil"/>
          <w:between w:val="nil"/>
        </w:pBdr>
        <w:spacing w:after="0" w:line="240" w:lineRule="auto"/>
        <w:ind w:left="0" w:hanging="2"/>
        <w:rPr>
          <w:rFonts w:ascii="Arial" w:eastAsia="Arial" w:hAnsi="Arial" w:cs="Arial"/>
          <w:color w:val="000000"/>
        </w:rPr>
      </w:pPr>
    </w:p>
    <w:p w14:paraId="000000A4" w14:textId="77777777" w:rsidR="00DD574C" w:rsidRDefault="00000000">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b/>
          <w:color w:val="000000"/>
        </w:rPr>
        <w:t>Sklapanje Ugovora o dodjeli potpore</w:t>
      </w:r>
    </w:p>
    <w:p w14:paraId="000000A5" w14:textId="77777777" w:rsidR="00DD574C" w:rsidRDefault="00000000">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Članak 21.</w:t>
      </w:r>
    </w:p>
    <w:p w14:paraId="000000A6" w14:textId="77777777" w:rsidR="00DD574C" w:rsidRDefault="00000000">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Nakon odobrenja potpore, a sukladno terminu održavanja aktivnosti, TZGZ će Prijavitelju/korisniku dostaviti na potpis Ugovor o dodjeli potpore zajedno s Obavijesti o predviđenom iznosu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potpore, odnosno ugovor može poslužiti kao Obavijest. </w:t>
      </w:r>
    </w:p>
    <w:p w14:paraId="000000A7" w14:textId="77777777" w:rsidR="00DD574C" w:rsidRDefault="00DD574C">
      <w:pPr>
        <w:spacing w:after="0" w:line="240" w:lineRule="auto"/>
        <w:ind w:left="0" w:hanging="2"/>
        <w:rPr>
          <w:rFonts w:ascii="Arial" w:eastAsia="Arial" w:hAnsi="Arial" w:cs="Arial"/>
        </w:rPr>
      </w:pPr>
    </w:p>
    <w:p w14:paraId="000000A8" w14:textId="77777777" w:rsidR="00DD574C" w:rsidRDefault="00000000">
      <w:pPr>
        <w:spacing w:after="0" w:line="240" w:lineRule="auto"/>
        <w:ind w:left="0" w:hanging="2"/>
        <w:rPr>
          <w:rFonts w:ascii="Arial" w:eastAsia="Arial" w:hAnsi="Arial" w:cs="Arial"/>
        </w:rPr>
      </w:pPr>
      <w:r>
        <w:rPr>
          <w:rFonts w:ascii="Arial" w:eastAsia="Arial" w:hAnsi="Arial" w:cs="Arial"/>
          <w:b/>
        </w:rPr>
        <w:t>Isplata potpore</w:t>
      </w:r>
    </w:p>
    <w:p w14:paraId="000000A9" w14:textId="77777777" w:rsidR="00DD574C" w:rsidRDefault="00DD574C">
      <w:pPr>
        <w:pBdr>
          <w:top w:val="nil"/>
          <w:left w:val="nil"/>
          <w:bottom w:val="nil"/>
          <w:right w:val="nil"/>
          <w:between w:val="nil"/>
        </w:pBdr>
        <w:spacing w:after="0" w:line="240" w:lineRule="auto"/>
        <w:ind w:left="0" w:hanging="2"/>
        <w:jc w:val="center"/>
        <w:rPr>
          <w:rFonts w:ascii="Arial" w:eastAsia="Arial" w:hAnsi="Arial" w:cs="Arial"/>
          <w:color w:val="000000"/>
        </w:rPr>
      </w:pPr>
    </w:p>
    <w:p w14:paraId="000000AA" w14:textId="77777777" w:rsidR="00DD574C" w:rsidRDefault="00000000">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Članak 22.</w:t>
      </w:r>
    </w:p>
    <w:p w14:paraId="000000AB" w14:textId="77777777" w:rsidR="00DD574C" w:rsidRDefault="00000000">
      <w:pPr>
        <w:spacing w:after="0" w:line="240" w:lineRule="auto"/>
        <w:ind w:left="0" w:hanging="2"/>
        <w:jc w:val="both"/>
        <w:rPr>
          <w:rFonts w:ascii="Arial" w:eastAsia="Arial" w:hAnsi="Arial" w:cs="Arial"/>
        </w:rPr>
      </w:pPr>
      <w:r>
        <w:rPr>
          <w:rFonts w:ascii="Arial" w:eastAsia="Arial" w:hAnsi="Arial" w:cs="Arial"/>
        </w:rPr>
        <w:lastRenderedPageBreak/>
        <w:t>Potpore sukladno ovom Programu, TZGZ isplaćuje korisnicima u rokovima utvrđenim u Javnom pozivu.</w:t>
      </w:r>
    </w:p>
    <w:p w14:paraId="000000AC" w14:textId="77777777" w:rsidR="00DD574C" w:rsidRDefault="00DD574C">
      <w:pPr>
        <w:pBdr>
          <w:top w:val="nil"/>
          <w:left w:val="nil"/>
          <w:bottom w:val="nil"/>
          <w:right w:val="nil"/>
          <w:between w:val="nil"/>
        </w:pBdr>
        <w:spacing w:after="0" w:line="240" w:lineRule="auto"/>
        <w:ind w:left="0" w:hanging="2"/>
        <w:rPr>
          <w:rFonts w:ascii="Arial" w:eastAsia="Arial" w:hAnsi="Arial" w:cs="Arial"/>
          <w:color w:val="000000"/>
        </w:rPr>
      </w:pPr>
    </w:p>
    <w:p w14:paraId="000000AD" w14:textId="77777777" w:rsidR="00DD574C" w:rsidRDefault="00DD574C">
      <w:pPr>
        <w:pBdr>
          <w:top w:val="nil"/>
          <w:left w:val="nil"/>
          <w:bottom w:val="nil"/>
          <w:right w:val="nil"/>
          <w:between w:val="nil"/>
        </w:pBdr>
        <w:spacing w:after="0" w:line="240" w:lineRule="auto"/>
        <w:ind w:left="0" w:hanging="2"/>
        <w:rPr>
          <w:rFonts w:ascii="Arial" w:eastAsia="Arial" w:hAnsi="Arial" w:cs="Arial"/>
          <w:color w:val="000000"/>
        </w:rPr>
      </w:pPr>
    </w:p>
    <w:p w14:paraId="000000AE" w14:textId="77777777" w:rsidR="00DD574C" w:rsidRDefault="00000000">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b/>
          <w:color w:val="000000"/>
        </w:rPr>
        <w:t>Promijenjene okolnosti</w:t>
      </w:r>
    </w:p>
    <w:p w14:paraId="000000AF" w14:textId="77777777" w:rsidR="00DD574C" w:rsidRDefault="00000000">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Članak 23.</w:t>
      </w:r>
    </w:p>
    <w:p w14:paraId="000000B0" w14:textId="77777777" w:rsidR="00DD574C" w:rsidRDefault="00000000">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Prijavitelj/korisnik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potpore je dužan, u slučaju promijenjenih okolnosti, bez odgode obavijestiti TZGZ o nastupu tih okolnosti. </w:t>
      </w:r>
    </w:p>
    <w:p w14:paraId="000000B1" w14:textId="77777777" w:rsidR="00DD574C" w:rsidRDefault="00000000">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U slučaju okolnosti iz stavka 1. ovog članka Programa Prijavitelj/korisnik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potpore ima pravo predložiti izmjenu projekta i/ili Ugovora iz članka 20. ovog Programa. U tom slučaju, Prijavitelj/korisnik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potpore je dužan dokazati postojanje opravdanih razloga za izmjenu projekta i/ili Ugovora, u roku od najviše 30 dana od dana događaja koje su dovele do promijenjenih okolnosti. </w:t>
      </w:r>
    </w:p>
    <w:p w14:paraId="000000B2" w14:textId="77777777" w:rsidR="00DD574C" w:rsidRDefault="00000000">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Odluku o izmjeni projekta i/ili Ugovora donosi TZGZ, a o čemu se obavještava Prijavitelja/korisnika. </w:t>
      </w:r>
    </w:p>
    <w:p w14:paraId="000000B3" w14:textId="77777777" w:rsidR="00DD574C" w:rsidRDefault="00000000">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Izmjene iz prethodnog stavka ne smiju rezultirati dodjelom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potpore u iznosu većem od najvećeg iznosa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potpore utvrđen Uredbom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odnosno u iznosu većem od 200 000 EUR u tri fiskalne godine. </w:t>
      </w:r>
    </w:p>
    <w:p w14:paraId="000000B4" w14:textId="77777777" w:rsidR="00DD574C" w:rsidRDefault="00000000">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Prijavitelj/Korisnik može započeti s izvršenjem izmijenjenog projekta nakon zaprimljene odluke iz stavka 3. ovog članka Programa, a kojom odlukom se odobrava izmjena projekta i/ili Ugovora.</w:t>
      </w:r>
    </w:p>
    <w:p w14:paraId="000000B5" w14:textId="77777777" w:rsidR="00DD574C" w:rsidRDefault="00000000">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Ako Prijavitelj/korisnik postupi protivno obvezama iz ovog članka Programa, a posebice ako izvrši promjene iz stavka 5. ovog članka Programa, promjene će se smatrati neprihvatljivim troškom i TZGZ će zatražiti povrat cjelokupnog iznosa potpore uvećanog za referentnu stopu u skladu s pravilima o državnim potporama. </w:t>
      </w:r>
    </w:p>
    <w:p w14:paraId="000000B6" w14:textId="77777777" w:rsidR="00DD574C" w:rsidRDefault="00DD574C">
      <w:pPr>
        <w:pBdr>
          <w:top w:val="nil"/>
          <w:left w:val="nil"/>
          <w:bottom w:val="nil"/>
          <w:right w:val="nil"/>
          <w:between w:val="nil"/>
        </w:pBdr>
        <w:spacing w:after="0" w:line="240" w:lineRule="auto"/>
        <w:ind w:left="0" w:hanging="2"/>
        <w:rPr>
          <w:rFonts w:ascii="Arial" w:eastAsia="Arial" w:hAnsi="Arial" w:cs="Arial"/>
          <w:color w:val="000000"/>
        </w:rPr>
      </w:pPr>
    </w:p>
    <w:p w14:paraId="000000B7" w14:textId="77777777" w:rsidR="00DD574C" w:rsidRDefault="00000000">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b/>
          <w:color w:val="000000"/>
        </w:rPr>
        <w:t>Isplata i povrat potpore</w:t>
      </w:r>
    </w:p>
    <w:p w14:paraId="000000B8" w14:textId="77777777" w:rsidR="00DD574C" w:rsidRDefault="00000000">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Članak 24.</w:t>
      </w:r>
    </w:p>
    <w:p w14:paraId="000000B9" w14:textId="77777777" w:rsidR="00DD574C" w:rsidRDefault="00000000">
      <w:pPr>
        <w:numPr>
          <w:ilvl w:val="0"/>
          <w:numId w:val="19"/>
        </w:num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Potpora se isplaćuje na račun Prijavitelja/Korisnika u skladu s odredbama Ugovora iz članka 20. ovog Programa.</w:t>
      </w:r>
    </w:p>
    <w:p w14:paraId="000000BA" w14:textId="77777777" w:rsidR="00DD574C" w:rsidRDefault="00000000">
      <w:pPr>
        <w:numPr>
          <w:ilvl w:val="0"/>
          <w:numId w:val="19"/>
        </w:num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TZGZ će zahtijevati povrat potpore ako:</w:t>
      </w:r>
    </w:p>
    <w:p w14:paraId="000000BB" w14:textId="77777777" w:rsidR="00DD574C" w:rsidRDefault="00000000">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a) utvrdi da je Prijavitelj/korisnik nezakonito ostvario potporu;</w:t>
      </w:r>
    </w:p>
    <w:p w14:paraId="000000BC" w14:textId="77777777" w:rsidR="00DD574C" w:rsidRDefault="00000000">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b) prijavitelj/korisnik koristi potporu na način koji nije u skladu s namjenom iz članka 4. ovog Programa.</w:t>
      </w:r>
    </w:p>
    <w:p w14:paraId="000000BD" w14:textId="77777777" w:rsidR="00DD574C" w:rsidRDefault="00000000">
      <w:pPr>
        <w:numPr>
          <w:ilvl w:val="0"/>
          <w:numId w:val="19"/>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Prijavitelj/korisnik je dužan dodijeljenu potporu vratiti na način i u roku određenim u nalogu za povrat potpore, a u skladu s Uredbom Vijeća (EU) 2015/1589 od 13. srpnja 2015. o utvrđivanju detaljnih pravila primjene članka 108. Ugovora o funkcioniranju Europske unije</w:t>
      </w:r>
      <w:r>
        <w:rPr>
          <w:rFonts w:ascii="Arial" w:eastAsia="Arial" w:hAnsi="Arial" w:cs="Arial"/>
          <w:color w:val="000000"/>
          <w:vertAlign w:val="superscript"/>
        </w:rPr>
        <w:footnoteReference w:id="2"/>
      </w:r>
      <w:r>
        <w:rPr>
          <w:rFonts w:ascii="Arial" w:eastAsia="Arial" w:hAnsi="Arial" w:cs="Arial"/>
          <w:color w:val="000000"/>
        </w:rPr>
        <w:t>.</w:t>
      </w:r>
    </w:p>
    <w:p w14:paraId="000000BE" w14:textId="77777777" w:rsidR="00DD574C" w:rsidRDefault="00DD574C">
      <w:pPr>
        <w:pBdr>
          <w:top w:val="nil"/>
          <w:left w:val="nil"/>
          <w:bottom w:val="nil"/>
          <w:right w:val="nil"/>
          <w:between w:val="nil"/>
        </w:pBdr>
        <w:spacing w:after="0" w:line="240" w:lineRule="auto"/>
        <w:ind w:left="0" w:hanging="2"/>
        <w:jc w:val="center"/>
        <w:rPr>
          <w:rFonts w:ascii="Arial" w:eastAsia="Arial" w:hAnsi="Arial" w:cs="Arial"/>
          <w:color w:val="000000"/>
        </w:rPr>
      </w:pPr>
    </w:p>
    <w:p w14:paraId="000000BF" w14:textId="77777777" w:rsidR="00DD574C" w:rsidRDefault="00000000">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Članak 25.</w:t>
      </w:r>
    </w:p>
    <w:p w14:paraId="000000C0" w14:textId="77777777" w:rsidR="00DD574C" w:rsidRDefault="00000000">
      <w:pPr>
        <w:numPr>
          <w:ilvl w:val="0"/>
          <w:numId w:val="20"/>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Zapisi o dodijeljenim potporama po ovom Programu, TZGZ je u obvezi čuvati 10 (deset) fiskalnih godina od datuma kada je dodijeljena posljednja pojedinačna potpora odnosno do kraja 2032. godine.</w:t>
      </w:r>
    </w:p>
    <w:p w14:paraId="000000C1" w14:textId="77777777" w:rsidR="00DD574C" w:rsidRDefault="00000000">
      <w:pPr>
        <w:numPr>
          <w:ilvl w:val="0"/>
          <w:numId w:val="20"/>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TZGZ je dužan, na pisani zahtjev Europske komisije, u roku od 20 dana dostaviti sve informacije potrebn</w:t>
      </w:r>
      <w:r>
        <w:rPr>
          <w:rFonts w:ascii="Arial" w:eastAsia="Arial" w:hAnsi="Arial" w:cs="Arial"/>
        </w:rPr>
        <w:t>e</w:t>
      </w:r>
      <w:r>
        <w:rPr>
          <w:rFonts w:ascii="Arial" w:eastAsia="Arial" w:hAnsi="Arial" w:cs="Arial"/>
          <w:color w:val="000000"/>
        </w:rPr>
        <w:t xml:space="preserve"> kako bi se ocijenilo jesu li ispunjeni uvjeti iz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Uredbe, a posebno o ukupnom iznosu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potpora koje je bilo koji poduzetnik primio na temelju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Uredbe ili drugih uredbi o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potporama. </w:t>
      </w:r>
    </w:p>
    <w:p w14:paraId="000000C2" w14:textId="77777777" w:rsidR="00DD574C" w:rsidRDefault="00DD574C">
      <w:pPr>
        <w:pBdr>
          <w:top w:val="nil"/>
          <w:left w:val="nil"/>
          <w:bottom w:val="nil"/>
          <w:right w:val="nil"/>
          <w:between w:val="nil"/>
        </w:pBdr>
        <w:spacing w:after="0" w:line="240" w:lineRule="auto"/>
        <w:ind w:left="0" w:hanging="2"/>
        <w:jc w:val="both"/>
        <w:rPr>
          <w:rFonts w:ascii="Arial" w:eastAsia="Arial" w:hAnsi="Arial" w:cs="Arial"/>
          <w:color w:val="000000"/>
        </w:rPr>
      </w:pPr>
    </w:p>
    <w:p w14:paraId="000000C3" w14:textId="77777777" w:rsidR="00DD574C" w:rsidRDefault="00000000">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b/>
          <w:color w:val="000000"/>
        </w:rPr>
        <w:t>Završne odredbe</w:t>
      </w:r>
    </w:p>
    <w:p w14:paraId="000000C4" w14:textId="77777777" w:rsidR="00DD574C" w:rsidRDefault="00000000">
      <w:pPr>
        <w:spacing w:after="0" w:line="240" w:lineRule="auto"/>
        <w:ind w:left="0" w:hanging="2"/>
        <w:jc w:val="center"/>
        <w:rPr>
          <w:rFonts w:ascii="Arial" w:eastAsia="Arial" w:hAnsi="Arial" w:cs="Arial"/>
        </w:rPr>
      </w:pPr>
      <w:r>
        <w:rPr>
          <w:rFonts w:ascii="Arial" w:eastAsia="Arial" w:hAnsi="Arial" w:cs="Arial"/>
        </w:rPr>
        <w:t>Članak 26.</w:t>
      </w:r>
    </w:p>
    <w:p w14:paraId="000000C5" w14:textId="77777777" w:rsidR="00DD574C" w:rsidRDefault="00000000">
      <w:pPr>
        <w:spacing w:after="0" w:line="240" w:lineRule="auto"/>
        <w:ind w:left="0" w:hanging="2"/>
        <w:jc w:val="both"/>
        <w:rPr>
          <w:rFonts w:ascii="Arial" w:eastAsia="Arial" w:hAnsi="Arial" w:cs="Arial"/>
        </w:rPr>
      </w:pPr>
      <w:r>
        <w:rPr>
          <w:rFonts w:ascii="Arial" w:eastAsia="Arial" w:hAnsi="Arial" w:cs="Arial"/>
        </w:rPr>
        <w:t>Na sva pitanja koja nisu uređena ovim Programom primjenjuju se odredbe Uredbe 1407/2013.</w:t>
      </w:r>
    </w:p>
    <w:p w14:paraId="000000C6" w14:textId="77777777" w:rsidR="00DD574C" w:rsidRDefault="00000000">
      <w:pPr>
        <w:spacing w:after="0" w:line="240" w:lineRule="auto"/>
        <w:ind w:left="0" w:hanging="2"/>
        <w:jc w:val="both"/>
        <w:rPr>
          <w:rFonts w:ascii="Arial" w:eastAsia="Arial" w:hAnsi="Arial" w:cs="Arial"/>
        </w:rPr>
      </w:pPr>
      <w:r>
        <w:rPr>
          <w:rFonts w:ascii="Arial" w:eastAsia="Arial" w:hAnsi="Arial" w:cs="Arial"/>
        </w:rPr>
        <w:t>Detaljniji uvjeti i način dodjele potpore male vrijednosti utvrđuju se u Javnom pozivu za dostavu projektnih prijedloga odnosno u uputama za prijavitelje.</w:t>
      </w:r>
    </w:p>
    <w:p w14:paraId="000000C7" w14:textId="77777777" w:rsidR="00DD574C" w:rsidRDefault="00DD574C">
      <w:pPr>
        <w:spacing w:after="0" w:line="240" w:lineRule="auto"/>
        <w:ind w:left="0" w:hanging="2"/>
        <w:jc w:val="center"/>
        <w:rPr>
          <w:rFonts w:ascii="Arial" w:eastAsia="Arial" w:hAnsi="Arial" w:cs="Arial"/>
        </w:rPr>
      </w:pPr>
    </w:p>
    <w:p w14:paraId="000000C8" w14:textId="77777777" w:rsidR="00DD574C" w:rsidRDefault="00DD574C">
      <w:pPr>
        <w:spacing w:after="0" w:line="240" w:lineRule="auto"/>
        <w:ind w:left="0" w:hanging="2"/>
        <w:jc w:val="center"/>
        <w:rPr>
          <w:rFonts w:ascii="Arial" w:eastAsia="Arial" w:hAnsi="Arial" w:cs="Arial"/>
        </w:rPr>
      </w:pPr>
    </w:p>
    <w:p w14:paraId="000000C9" w14:textId="77777777" w:rsidR="00DD574C" w:rsidRDefault="00DD574C">
      <w:pPr>
        <w:spacing w:after="0" w:line="240" w:lineRule="auto"/>
        <w:ind w:left="0" w:hanging="2"/>
        <w:jc w:val="center"/>
        <w:rPr>
          <w:rFonts w:ascii="Arial" w:eastAsia="Arial" w:hAnsi="Arial" w:cs="Arial"/>
        </w:rPr>
      </w:pPr>
    </w:p>
    <w:p w14:paraId="000000CA" w14:textId="77777777" w:rsidR="00DD574C" w:rsidRDefault="00DD574C">
      <w:pPr>
        <w:spacing w:after="0" w:line="240" w:lineRule="auto"/>
        <w:ind w:left="0" w:hanging="2"/>
        <w:jc w:val="center"/>
        <w:rPr>
          <w:rFonts w:ascii="Arial" w:eastAsia="Arial" w:hAnsi="Arial" w:cs="Arial"/>
        </w:rPr>
      </w:pPr>
    </w:p>
    <w:p w14:paraId="000000CB" w14:textId="77777777" w:rsidR="00DD574C" w:rsidRDefault="00000000">
      <w:pPr>
        <w:spacing w:after="0" w:line="240" w:lineRule="auto"/>
        <w:ind w:left="0" w:hanging="2"/>
        <w:jc w:val="center"/>
        <w:rPr>
          <w:rFonts w:ascii="Arial" w:eastAsia="Arial" w:hAnsi="Arial" w:cs="Arial"/>
        </w:rPr>
      </w:pPr>
      <w:r>
        <w:rPr>
          <w:rFonts w:ascii="Arial" w:eastAsia="Arial" w:hAnsi="Arial" w:cs="Arial"/>
        </w:rPr>
        <w:t>Članak 27.</w:t>
      </w:r>
    </w:p>
    <w:p w14:paraId="000000CC" w14:textId="77777777" w:rsidR="00DD574C" w:rsidRDefault="00000000">
      <w:pPr>
        <w:spacing w:after="0" w:line="240" w:lineRule="auto"/>
        <w:ind w:left="0" w:hanging="2"/>
        <w:jc w:val="both"/>
        <w:rPr>
          <w:rFonts w:ascii="Arial" w:eastAsia="Arial" w:hAnsi="Arial" w:cs="Arial"/>
        </w:rPr>
      </w:pPr>
      <w:r>
        <w:rPr>
          <w:rFonts w:ascii="Arial" w:eastAsia="Arial" w:hAnsi="Arial" w:cs="Arial"/>
        </w:rPr>
        <w:t>Program stupa na snagu danom donošenja.</w:t>
      </w:r>
    </w:p>
    <w:p w14:paraId="000000CD" w14:textId="77777777" w:rsidR="00DD574C" w:rsidRDefault="00000000">
      <w:pPr>
        <w:spacing w:after="0" w:line="240" w:lineRule="auto"/>
        <w:ind w:left="0" w:hanging="2"/>
        <w:jc w:val="both"/>
        <w:rPr>
          <w:rFonts w:ascii="Arial" w:eastAsia="Arial" w:hAnsi="Arial" w:cs="Arial"/>
        </w:rPr>
      </w:pPr>
      <w:r>
        <w:rPr>
          <w:rFonts w:ascii="Arial" w:eastAsia="Arial" w:hAnsi="Arial" w:cs="Arial"/>
        </w:rPr>
        <w:t xml:space="preserve">Program se objavljuje na mrežnim stranicama TZGZ-a, </w:t>
      </w:r>
      <w:hyperlink r:id="rId8">
        <w:r>
          <w:rPr>
            <w:rFonts w:ascii="Arial" w:eastAsia="Arial" w:hAnsi="Arial" w:cs="Arial"/>
            <w:color w:val="000000"/>
            <w:u w:val="single"/>
          </w:rPr>
          <w:t>www.tzgz.hr</w:t>
        </w:r>
      </w:hyperlink>
      <w:r>
        <w:rPr>
          <w:rFonts w:ascii="Arial" w:eastAsia="Arial" w:hAnsi="Arial" w:cs="Arial"/>
        </w:rPr>
        <w:t>, zajedno s objavom javnog poziva.</w:t>
      </w:r>
    </w:p>
    <w:p w14:paraId="000000CE" w14:textId="77777777" w:rsidR="00DD574C" w:rsidRDefault="00DD574C">
      <w:pPr>
        <w:spacing w:after="0" w:line="240" w:lineRule="auto"/>
        <w:ind w:left="0" w:hanging="2"/>
        <w:jc w:val="both"/>
        <w:rPr>
          <w:rFonts w:ascii="Arial" w:eastAsia="Arial" w:hAnsi="Arial" w:cs="Arial"/>
          <w:color w:val="003764"/>
        </w:rPr>
      </w:pPr>
    </w:p>
    <w:p w14:paraId="000000CF" w14:textId="77777777" w:rsidR="00DD574C" w:rsidRDefault="00DD574C">
      <w:pPr>
        <w:spacing w:after="0" w:line="240" w:lineRule="auto"/>
        <w:ind w:left="0" w:hanging="2"/>
        <w:jc w:val="both"/>
        <w:rPr>
          <w:rFonts w:ascii="Arial" w:eastAsia="Arial" w:hAnsi="Arial" w:cs="Arial"/>
          <w:color w:val="003764"/>
        </w:rPr>
      </w:pPr>
    </w:p>
    <w:p w14:paraId="000000D0" w14:textId="77777777" w:rsidR="00DD574C" w:rsidRDefault="00000000">
      <w:pPr>
        <w:spacing w:after="0" w:line="240" w:lineRule="auto"/>
        <w:ind w:left="0" w:hanging="2"/>
        <w:jc w:val="both"/>
        <w:rPr>
          <w:rFonts w:ascii="Arial" w:eastAsia="Arial" w:hAnsi="Arial" w:cs="Arial"/>
        </w:rPr>
      </w:pPr>
      <w:r>
        <w:rPr>
          <w:rFonts w:ascii="Arial" w:eastAsia="Arial" w:hAnsi="Arial" w:cs="Arial"/>
          <w:color w:val="003764"/>
        </w:rPr>
        <w:tab/>
      </w:r>
      <w:r>
        <w:rPr>
          <w:rFonts w:ascii="Arial" w:eastAsia="Arial" w:hAnsi="Arial" w:cs="Arial"/>
          <w:color w:val="003764"/>
        </w:rPr>
        <w:tab/>
      </w:r>
      <w:r>
        <w:rPr>
          <w:rFonts w:ascii="Arial" w:eastAsia="Arial" w:hAnsi="Arial" w:cs="Arial"/>
          <w:color w:val="003764"/>
        </w:rPr>
        <w:tab/>
      </w:r>
      <w:r>
        <w:rPr>
          <w:rFonts w:ascii="Arial" w:eastAsia="Arial" w:hAnsi="Arial" w:cs="Arial"/>
          <w:color w:val="003764"/>
        </w:rPr>
        <w:tab/>
      </w:r>
      <w:r>
        <w:rPr>
          <w:rFonts w:ascii="Arial" w:eastAsia="Arial" w:hAnsi="Arial" w:cs="Arial"/>
          <w:color w:val="003764"/>
        </w:rPr>
        <w:tab/>
      </w:r>
      <w:r>
        <w:rPr>
          <w:rFonts w:ascii="Arial" w:eastAsia="Arial" w:hAnsi="Arial" w:cs="Arial"/>
          <w:color w:val="003764"/>
        </w:rPr>
        <w:tab/>
      </w:r>
      <w:r>
        <w:rPr>
          <w:rFonts w:ascii="Arial" w:eastAsia="Arial" w:hAnsi="Arial" w:cs="Arial"/>
          <w:color w:val="003764"/>
        </w:rPr>
        <w:tab/>
        <w:t xml:space="preserve">         </w:t>
      </w:r>
      <w:r>
        <w:rPr>
          <w:rFonts w:ascii="Arial" w:eastAsia="Arial" w:hAnsi="Arial" w:cs="Arial"/>
        </w:rPr>
        <w:t xml:space="preserve">Tomislav Tomašević, </w:t>
      </w:r>
      <w:proofErr w:type="spellStart"/>
      <w:r>
        <w:rPr>
          <w:rFonts w:ascii="Arial" w:eastAsia="Arial" w:hAnsi="Arial" w:cs="Arial"/>
        </w:rPr>
        <w:t>mag.polit</w:t>
      </w:r>
      <w:proofErr w:type="spellEnd"/>
      <w:r>
        <w:rPr>
          <w:rFonts w:ascii="Arial" w:eastAsia="Arial" w:hAnsi="Arial" w:cs="Arial"/>
        </w:rPr>
        <w:t>.</w:t>
      </w:r>
    </w:p>
    <w:p w14:paraId="000000D1" w14:textId="77777777" w:rsidR="00DD574C" w:rsidRDefault="00000000">
      <w:pPr>
        <w:spacing w:after="0" w:line="240" w:lineRule="auto"/>
        <w:ind w:left="0" w:hanging="2"/>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predsjednik</w:t>
      </w:r>
    </w:p>
    <w:p w14:paraId="000000D2" w14:textId="77777777" w:rsidR="00DD574C" w:rsidRDefault="00DD574C">
      <w:pPr>
        <w:spacing w:after="0" w:line="240" w:lineRule="auto"/>
        <w:ind w:left="0" w:hanging="2"/>
        <w:jc w:val="both"/>
        <w:rPr>
          <w:rFonts w:ascii="Arial" w:eastAsia="Arial" w:hAnsi="Arial" w:cs="Arial"/>
        </w:rPr>
      </w:pPr>
    </w:p>
    <w:p w14:paraId="000000D3" w14:textId="77777777" w:rsidR="00DD574C" w:rsidRDefault="00DD574C">
      <w:pPr>
        <w:spacing w:after="0" w:line="240" w:lineRule="auto"/>
        <w:ind w:left="0" w:hanging="2"/>
        <w:jc w:val="both"/>
        <w:rPr>
          <w:rFonts w:ascii="Arial" w:eastAsia="Arial" w:hAnsi="Arial" w:cs="Arial"/>
          <w:color w:val="003764"/>
        </w:rPr>
      </w:pPr>
    </w:p>
    <w:p w14:paraId="000000D4" w14:textId="77777777" w:rsidR="00DD574C" w:rsidRDefault="00DD574C">
      <w:pPr>
        <w:spacing w:after="0" w:line="240" w:lineRule="auto"/>
        <w:ind w:left="0" w:hanging="2"/>
        <w:jc w:val="both"/>
        <w:rPr>
          <w:rFonts w:ascii="Arial" w:eastAsia="Arial" w:hAnsi="Arial" w:cs="Arial"/>
          <w:color w:val="003764"/>
        </w:rPr>
      </w:pPr>
    </w:p>
    <w:p w14:paraId="000000D5" w14:textId="77777777" w:rsidR="00DD574C" w:rsidRDefault="00DD574C">
      <w:pPr>
        <w:spacing w:after="0" w:line="240" w:lineRule="auto"/>
        <w:ind w:left="0" w:hanging="2"/>
        <w:jc w:val="both"/>
        <w:rPr>
          <w:rFonts w:ascii="Arial" w:eastAsia="Arial" w:hAnsi="Arial" w:cs="Arial"/>
          <w:color w:val="003764"/>
        </w:rPr>
      </w:pPr>
    </w:p>
    <w:p w14:paraId="000000D6" w14:textId="77777777" w:rsidR="00DD574C" w:rsidRDefault="00DD574C">
      <w:pPr>
        <w:spacing w:after="0" w:line="240" w:lineRule="auto"/>
        <w:ind w:left="0" w:hanging="2"/>
        <w:jc w:val="both"/>
        <w:rPr>
          <w:rFonts w:ascii="Arial" w:eastAsia="Arial" w:hAnsi="Arial" w:cs="Arial"/>
          <w:color w:val="003764"/>
        </w:rPr>
      </w:pPr>
    </w:p>
    <w:p w14:paraId="000000D7" w14:textId="77777777" w:rsidR="00DD574C" w:rsidRDefault="00DD574C">
      <w:pPr>
        <w:spacing w:after="0" w:line="240" w:lineRule="auto"/>
        <w:ind w:left="0" w:hanging="2"/>
        <w:jc w:val="both"/>
        <w:rPr>
          <w:rFonts w:ascii="Arial" w:eastAsia="Arial" w:hAnsi="Arial" w:cs="Arial"/>
          <w:color w:val="003764"/>
        </w:rPr>
      </w:pPr>
    </w:p>
    <w:p w14:paraId="000000D8" w14:textId="77777777" w:rsidR="00DD574C" w:rsidRDefault="00DD574C">
      <w:pPr>
        <w:spacing w:after="0" w:line="240" w:lineRule="auto"/>
        <w:ind w:left="0" w:hanging="2"/>
        <w:jc w:val="both"/>
        <w:rPr>
          <w:rFonts w:ascii="Arial" w:eastAsia="Arial" w:hAnsi="Arial" w:cs="Arial"/>
          <w:color w:val="003764"/>
        </w:rPr>
      </w:pPr>
    </w:p>
    <w:p w14:paraId="000000D9" w14:textId="77777777" w:rsidR="00DD574C" w:rsidRDefault="00DD574C">
      <w:pPr>
        <w:spacing w:after="0" w:line="240" w:lineRule="auto"/>
        <w:ind w:left="0" w:hanging="2"/>
        <w:jc w:val="both"/>
        <w:rPr>
          <w:rFonts w:ascii="Arial" w:eastAsia="Arial" w:hAnsi="Arial" w:cs="Arial"/>
          <w:color w:val="003764"/>
        </w:rPr>
      </w:pPr>
    </w:p>
    <w:p w14:paraId="000000DA" w14:textId="77777777" w:rsidR="00DD574C" w:rsidRDefault="00DD574C">
      <w:pPr>
        <w:spacing w:after="0" w:line="240" w:lineRule="auto"/>
        <w:ind w:left="0" w:hanging="2"/>
        <w:jc w:val="both"/>
        <w:rPr>
          <w:rFonts w:ascii="Arial" w:eastAsia="Arial" w:hAnsi="Arial" w:cs="Arial"/>
          <w:color w:val="003764"/>
        </w:rPr>
      </w:pPr>
    </w:p>
    <w:p w14:paraId="000000DB" w14:textId="77777777" w:rsidR="00DD574C" w:rsidRDefault="00000000">
      <w:pPr>
        <w:spacing w:after="0" w:line="240" w:lineRule="auto"/>
        <w:ind w:left="0" w:hanging="2"/>
        <w:rPr>
          <w:rFonts w:ascii="Arial" w:eastAsia="Arial" w:hAnsi="Arial" w:cs="Arial"/>
        </w:rPr>
      </w:pPr>
      <w:r>
        <w:br w:type="page"/>
      </w:r>
      <w:r>
        <w:rPr>
          <w:rFonts w:ascii="Arial" w:eastAsia="Arial" w:hAnsi="Arial" w:cs="Arial"/>
          <w:b/>
        </w:rPr>
        <w:lastRenderedPageBreak/>
        <w:t xml:space="preserve">PRILOG I. </w:t>
      </w:r>
    </w:p>
    <w:p w14:paraId="000000DC" w14:textId="77777777" w:rsidR="00DD574C" w:rsidRDefault="00DD574C">
      <w:pPr>
        <w:spacing w:after="0" w:line="240" w:lineRule="auto"/>
        <w:ind w:left="0" w:hanging="2"/>
        <w:jc w:val="center"/>
        <w:rPr>
          <w:rFonts w:ascii="Arial" w:eastAsia="Arial" w:hAnsi="Arial" w:cs="Arial"/>
        </w:rPr>
      </w:pPr>
    </w:p>
    <w:p w14:paraId="000000DD" w14:textId="77777777" w:rsidR="00DD574C" w:rsidRDefault="00000000">
      <w:pPr>
        <w:spacing w:after="0" w:line="240" w:lineRule="auto"/>
        <w:ind w:left="0" w:hanging="2"/>
        <w:jc w:val="center"/>
        <w:rPr>
          <w:rFonts w:ascii="Arial" w:eastAsia="Arial" w:hAnsi="Arial" w:cs="Arial"/>
        </w:rPr>
      </w:pPr>
      <w:r>
        <w:rPr>
          <w:rFonts w:ascii="Arial" w:eastAsia="Arial" w:hAnsi="Arial" w:cs="Arial"/>
          <w:b/>
        </w:rPr>
        <w:t>Kriteriji koji će se vrednovati za odobravanje financijske potpore Turističke zajednice grada Zagreba za projekte i kongresne aktivnosti u 2023. godini</w:t>
      </w:r>
    </w:p>
    <w:p w14:paraId="000000DE" w14:textId="77777777" w:rsidR="00DD574C" w:rsidRDefault="00DD574C">
      <w:pPr>
        <w:spacing w:after="0" w:line="240" w:lineRule="auto"/>
        <w:ind w:left="0" w:hanging="2"/>
        <w:rPr>
          <w:rFonts w:ascii="Arial" w:eastAsia="Arial" w:hAnsi="Arial" w:cs="Arial"/>
        </w:rPr>
      </w:pPr>
    </w:p>
    <w:p w14:paraId="000000DF" w14:textId="77777777" w:rsidR="00DD574C" w:rsidRDefault="00000000">
      <w:pPr>
        <w:spacing w:after="0" w:line="240" w:lineRule="auto"/>
        <w:ind w:left="0" w:hanging="2"/>
        <w:rPr>
          <w:rFonts w:ascii="Arial" w:eastAsia="Arial" w:hAnsi="Arial" w:cs="Arial"/>
        </w:rPr>
      </w:pPr>
      <w:r>
        <w:rPr>
          <w:rFonts w:ascii="Arial" w:eastAsia="Arial" w:hAnsi="Arial" w:cs="Arial"/>
          <w:b/>
        </w:rPr>
        <w:t>1. Broj dolazaka i noćenja domaćih i inozemnih posjetitelja vezano za projekt</w:t>
      </w:r>
    </w:p>
    <w:p w14:paraId="000000E0" w14:textId="77777777" w:rsidR="00DD574C" w:rsidRDefault="00000000">
      <w:pPr>
        <w:spacing w:after="0" w:line="240" w:lineRule="auto"/>
        <w:ind w:left="0" w:hanging="2"/>
        <w:rPr>
          <w:rFonts w:ascii="Arial" w:eastAsia="Arial" w:hAnsi="Arial" w:cs="Arial"/>
        </w:rPr>
      </w:pPr>
      <w:r>
        <w:rPr>
          <w:rFonts w:ascii="Arial" w:eastAsia="Arial" w:hAnsi="Arial" w:cs="Arial"/>
        </w:rPr>
        <w:t>Posjetitelji kojima je glavni motiv dolaska posjet manifestaciji/projektu (ukoliko je moguće procijeniti).</w:t>
      </w:r>
    </w:p>
    <w:p w14:paraId="000000E1" w14:textId="77777777" w:rsidR="00DD574C" w:rsidRDefault="00000000">
      <w:pPr>
        <w:spacing w:after="0" w:line="240" w:lineRule="auto"/>
        <w:ind w:left="0" w:hanging="2"/>
        <w:rPr>
          <w:rFonts w:ascii="Arial" w:eastAsia="Arial" w:hAnsi="Arial" w:cs="Arial"/>
        </w:rPr>
      </w:pPr>
      <w:r>
        <w:rPr>
          <w:rFonts w:ascii="Arial" w:eastAsia="Arial" w:hAnsi="Arial" w:cs="Arial"/>
        </w:rPr>
        <w:t>&gt;&gt; od 0 do 20 bodova</w:t>
      </w:r>
    </w:p>
    <w:p w14:paraId="000000E2" w14:textId="77777777" w:rsidR="00DD574C" w:rsidRDefault="00000000">
      <w:pPr>
        <w:spacing w:after="0" w:line="240" w:lineRule="auto"/>
        <w:ind w:left="0" w:hanging="2"/>
        <w:rPr>
          <w:rFonts w:ascii="Arial" w:eastAsia="Arial" w:hAnsi="Arial" w:cs="Arial"/>
        </w:rPr>
      </w:pPr>
      <w:r>
        <w:rPr>
          <w:rFonts w:ascii="Arial" w:eastAsia="Arial" w:hAnsi="Arial" w:cs="Arial"/>
          <w:b/>
        </w:rPr>
        <w:t xml:space="preserve">2. Vrijednost medijskih objava u stranim i domaćim medijima </w:t>
      </w:r>
    </w:p>
    <w:p w14:paraId="000000E3" w14:textId="77777777" w:rsidR="00DD574C" w:rsidRDefault="00000000">
      <w:pPr>
        <w:spacing w:after="0" w:line="240" w:lineRule="auto"/>
        <w:ind w:left="0" w:hanging="2"/>
        <w:rPr>
          <w:rFonts w:ascii="Arial" w:eastAsia="Arial" w:hAnsi="Arial" w:cs="Arial"/>
        </w:rPr>
      </w:pPr>
      <w:r>
        <w:rPr>
          <w:rFonts w:ascii="Arial" w:eastAsia="Arial" w:hAnsi="Arial" w:cs="Arial"/>
        </w:rPr>
        <w:t>&gt;&gt; od 0 do 20 bodova</w:t>
      </w:r>
    </w:p>
    <w:p w14:paraId="000000E4" w14:textId="77777777" w:rsidR="00DD574C" w:rsidRDefault="00000000">
      <w:pPr>
        <w:spacing w:after="0" w:line="240" w:lineRule="auto"/>
        <w:ind w:left="0" w:hanging="2"/>
        <w:rPr>
          <w:rFonts w:ascii="Arial" w:eastAsia="Arial" w:hAnsi="Arial" w:cs="Arial"/>
        </w:rPr>
      </w:pPr>
      <w:r>
        <w:rPr>
          <w:rFonts w:ascii="Arial" w:eastAsia="Arial" w:hAnsi="Arial" w:cs="Arial"/>
          <w:b/>
        </w:rPr>
        <w:t>3. Obogaćivanje turističke ponude</w:t>
      </w:r>
    </w:p>
    <w:p w14:paraId="000000E5" w14:textId="77777777" w:rsidR="00DD574C" w:rsidRDefault="00000000">
      <w:pPr>
        <w:spacing w:after="0" w:line="240" w:lineRule="auto"/>
        <w:ind w:left="0" w:hanging="2"/>
        <w:rPr>
          <w:rFonts w:ascii="Arial" w:eastAsia="Arial" w:hAnsi="Arial" w:cs="Arial"/>
        </w:rPr>
      </w:pPr>
      <w:r>
        <w:rPr>
          <w:rFonts w:ascii="Arial" w:eastAsia="Arial" w:hAnsi="Arial" w:cs="Arial"/>
        </w:rPr>
        <w:t>U kojoj mjeri manifestacija obogaćuje turističku ponudu grada, koliko je atraktivna, inovativna; kakva je kritika javnosti (objave u medijima, društvene mreže i portali...).</w:t>
      </w:r>
    </w:p>
    <w:p w14:paraId="000000E6" w14:textId="77777777" w:rsidR="00DD574C" w:rsidRDefault="00000000">
      <w:pPr>
        <w:spacing w:after="0" w:line="240" w:lineRule="auto"/>
        <w:ind w:left="0" w:hanging="2"/>
        <w:rPr>
          <w:rFonts w:ascii="Arial" w:eastAsia="Arial" w:hAnsi="Arial" w:cs="Arial"/>
        </w:rPr>
      </w:pPr>
      <w:r>
        <w:rPr>
          <w:rFonts w:ascii="Arial" w:eastAsia="Arial" w:hAnsi="Arial" w:cs="Arial"/>
        </w:rPr>
        <w:t>&gt;&gt; od 0 do 20 bodova</w:t>
      </w:r>
    </w:p>
    <w:p w14:paraId="000000E7" w14:textId="77777777" w:rsidR="00DD574C" w:rsidRDefault="00000000">
      <w:pPr>
        <w:spacing w:after="0" w:line="240" w:lineRule="auto"/>
        <w:ind w:left="0" w:hanging="2"/>
        <w:rPr>
          <w:rFonts w:ascii="Arial" w:eastAsia="Arial" w:hAnsi="Arial" w:cs="Arial"/>
        </w:rPr>
      </w:pPr>
      <w:r>
        <w:rPr>
          <w:rFonts w:ascii="Arial" w:eastAsia="Arial" w:hAnsi="Arial" w:cs="Arial"/>
          <w:b/>
        </w:rPr>
        <w:t>4.  Budžet</w:t>
      </w:r>
    </w:p>
    <w:p w14:paraId="000000E8" w14:textId="77777777" w:rsidR="00DD574C" w:rsidRDefault="00000000">
      <w:pPr>
        <w:spacing w:after="0" w:line="240" w:lineRule="auto"/>
        <w:ind w:left="0" w:hanging="2"/>
        <w:rPr>
          <w:rFonts w:ascii="Arial" w:eastAsia="Arial" w:hAnsi="Arial" w:cs="Arial"/>
        </w:rPr>
      </w:pPr>
      <w:r>
        <w:rPr>
          <w:rFonts w:ascii="Arial" w:eastAsia="Arial" w:hAnsi="Arial" w:cs="Arial"/>
        </w:rPr>
        <w:t>Ukupan budžet projekta – pregled troškovnika i udio koji se traži od TZGZ te ostali izvori prihoda zajedno s procjenom financijske opravdanosti.</w:t>
      </w:r>
    </w:p>
    <w:p w14:paraId="000000E9" w14:textId="77777777" w:rsidR="00DD574C" w:rsidRDefault="00000000">
      <w:pPr>
        <w:spacing w:after="0" w:line="240" w:lineRule="auto"/>
        <w:ind w:left="0" w:hanging="2"/>
        <w:rPr>
          <w:rFonts w:ascii="Arial" w:eastAsia="Arial" w:hAnsi="Arial" w:cs="Arial"/>
        </w:rPr>
      </w:pPr>
      <w:r>
        <w:rPr>
          <w:rFonts w:ascii="Arial" w:eastAsia="Arial" w:hAnsi="Arial" w:cs="Arial"/>
        </w:rPr>
        <w:t>&gt;&gt; od 0 do 20 bodova</w:t>
      </w:r>
    </w:p>
    <w:p w14:paraId="000000EA" w14:textId="77777777" w:rsidR="00DD574C" w:rsidRDefault="00000000">
      <w:pPr>
        <w:spacing w:after="0" w:line="240" w:lineRule="auto"/>
        <w:ind w:left="0" w:hanging="2"/>
        <w:rPr>
          <w:rFonts w:ascii="Arial" w:eastAsia="Arial" w:hAnsi="Arial" w:cs="Arial"/>
        </w:rPr>
      </w:pPr>
      <w:r>
        <w:rPr>
          <w:rFonts w:ascii="Arial" w:eastAsia="Arial" w:hAnsi="Arial" w:cs="Arial"/>
          <w:b/>
        </w:rPr>
        <w:t>5. Broj posjetitelja/korisnika samog projekta</w:t>
      </w:r>
    </w:p>
    <w:p w14:paraId="000000EB" w14:textId="77777777" w:rsidR="00DD574C" w:rsidRDefault="00000000">
      <w:pPr>
        <w:spacing w:after="0" w:line="240" w:lineRule="auto"/>
        <w:ind w:left="0" w:hanging="2"/>
        <w:rPr>
          <w:rFonts w:ascii="Arial" w:eastAsia="Arial" w:hAnsi="Arial" w:cs="Arial"/>
        </w:rPr>
      </w:pPr>
      <w:r>
        <w:rPr>
          <w:rFonts w:ascii="Arial" w:eastAsia="Arial" w:hAnsi="Arial" w:cs="Arial"/>
        </w:rPr>
        <w:t>Uvažavajući kapacitet i lokaciju održavanja (za manifestacije) te dostupnost posjetiteljima / korisnicima.</w:t>
      </w:r>
    </w:p>
    <w:p w14:paraId="000000EC" w14:textId="77777777" w:rsidR="00DD574C" w:rsidRDefault="00000000">
      <w:pPr>
        <w:spacing w:after="0" w:line="240" w:lineRule="auto"/>
        <w:ind w:left="0" w:hanging="2"/>
        <w:rPr>
          <w:rFonts w:ascii="Arial" w:eastAsia="Arial" w:hAnsi="Arial" w:cs="Arial"/>
        </w:rPr>
      </w:pPr>
      <w:r>
        <w:rPr>
          <w:rFonts w:ascii="Arial" w:eastAsia="Arial" w:hAnsi="Arial" w:cs="Arial"/>
        </w:rPr>
        <w:t>&gt;&gt; od 0 do 10 bodova</w:t>
      </w:r>
    </w:p>
    <w:p w14:paraId="000000ED" w14:textId="77777777" w:rsidR="00DD574C" w:rsidRDefault="00000000">
      <w:pPr>
        <w:spacing w:after="0" w:line="240" w:lineRule="auto"/>
        <w:ind w:left="0" w:hanging="2"/>
        <w:rPr>
          <w:rFonts w:ascii="Arial" w:eastAsia="Arial" w:hAnsi="Arial" w:cs="Arial"/>
        </w:rPr>
      </w:pPr>
      <w:r>
        <w:rPr>
          <w:rFonts w:ascii="Arial" w:eastAsia="Arial" w:hAnsi="Arial" w:cs="Arial"/>
          <w:b/>
        </w:rPr>
        <w:t>6. Tradicija projekta, prihvaćenost i održivost</w:t>
      </w:r>
    </w:p>
    <w:p w14:paraId="000000EE" w14:textId="77777777" w:rsidR="00DD574C" w:rsidRDefault="00000000">
      <w:pPr>
        <w:spacing w:after="0" w:line="240" w:lineRule="auto"/>
        <w:ind w:left="0" w:hanging="2"/>
        <w:rPr>
          <w:rFonts w:ascii="Arial" w:eastAsia="Arial" w:hAnsi="Arial" w:cs="Arial"/>
        </w:rPr>
      </w:pPr>
      <w:r>
        <w:rPr>
          <w:rFonts w:ascii="Arial" w:eastAsia="Arial" w:hAnsi="Arial" w:cs="Arial"/>
        </w:rPr>
        <w:t>Uzastopno održavanje projekta i značajnost kontinuiteta.</w:t>
      </w:r>
    </w:p>
    <w:p w14:paraId="000000EF" w14:textId="77777777" w:rsidR="00DD574C" w:rsidRDefault="00000000">
      <w:pPr>
        <w:spacing w:after="0" w:line="240" w:lineRule="auto"/>
        <w:ind w:left="0" w:hanging="2"/>
        <w:rPr>
          <w:rFonts w:ascii="Arial" w:eastAsia="Arial" w:hAnsi="Arial" w:cs="Arial"/>
        </w:rPr>
      </w:pPr>
      <w:r>
        <w:rPr>
          <w:rFonts w:ascii="Arial" w:eastAsia="Arial" w:hAnsi="Arial" w:cs="Arial"/>
        </w:rPr>
        <w:t>&gt;&gt; od 0 do 10 bodova</w:t>
      </w:r>
    </w:p>
    <w:p w14:paraId="000000F0" w14:textId="77777777" w:rsidR="00DD574C" w:rsidRDefault="00000000">
      <w:pPr>
        <w:spacing w:after="0" w:line="240" w:lineRule="auto"/>
        <w:ind w:left="0" w:hanging="2"/>
        <w:rPr>
          <w:rFonts w:ascii="Arial" w:eastAsia="Arial" w:hAnsi="Arial" w:cs="Arial"/>
        </w:rPr>
      </w:pPr>
      <w:r>
        <w:rPr>
          <w:rFonts w:ascii="Arial" w:eastAsia="Arial" w:hAnsi="Arial" w:cs="Arial"/>
          <w:b/>
        </w:rPr>
        <w:t>7. Sposobnost organizatora</w:t>
      </w:r>
    </w:p>
    <w:p w14:paraId="000000F1" w14:textId="77777777" w:rsidR="00DD574C" w:rsidRDefault="00000000">
      <w:pPr>
        <w:spacing w:after="0" w:line="240" w:lineRule="auto"/>
        <w:ind w:left="0" w:hanging="2"/>
        <w:rPr>
          <w:rFonts w:ascii="Arial" w:eastAsia="Arial" w:hAnsi="Arial" w:cs="Arial"/>
        </w:rPr>
      </w:pPr>
      <w:r>
        <w:rPr>
          <w:rFonts w:ascii="Arial" w:eastAsia="Arial" w:hAnsi="Arial" w:cs="Arial"/>
        </w:rPr>
        <w:t>Iskustvo u organiziranju sličnih manifestacija i projekata, reference.</w:t>
      </w:r>
    </w:p>
    <w:p w14:paraId="000000F2" w14:textId="77777777" w:rsidR="00DD574C" w:rsidRDefault="00000000">
      <w:pPr>
        <w:spacing w:after="0" w:line="240" w:lineRule="auto"/>
        <w:ind w:left="0" w:hanging="2"/>
        <w:rPr>
          <w:rFonts w:ascii="Arial" w:eastAsia="Arial" w:hAnsi="Arial" w:cs="Arial"/>
        </w:rPr>
      </w:pPr>
      <w:r>
        <w:rPr>
          <w:rFonts w:ascii="Arial" w:eastAsia="Arial" w:hAnsi="Arial" w:cs="Arial"/>
        </w:rPr>
        <w:t>&gt;&gt; od 0 do 10 bodova</w:t>
      </w:r>
    </w:p>
    <w:p w14:paraId="000000F3" w14:textId="77777777" w:rsidR="00DD574C" w:rsidRDefault="00000000">
      <w:pPr>
        <w:spacing w:after="0" w:line="240" w:lineRule="auto"/>
        <w:ind w:left="0" w:hanging="2"/>
        <w:rPr>
          <w:rFonts w:ascii="Arial" w:eastAsia="Arial" w:hAnsi="Arial" w:cs="Arial"/>
        </w:rPr>
      </w:pPr>
      <w:r>
        <w:rPr>
          <w:rFonts w:ascii="Arial" w:eastAsia="Arial" w:hAnsi="Arial" w:cs="Arial"/>
          <w:b/>
        </w:rPr>
        <w:t>8. Turističke agencije</w:t>
      </w:r>
    </w:p>
    <w:p w14:paraId="000000F4" w14:textId="77777777" w:rsidR="00DD574C" w:rsidRDefault="00000000">
      <w:pPr>
        <w:spacing w:after="0" w:line="240" w:lineRule="auto"/>
        <w:ind w:left="0" w:hanging="2"/>
        <w:rPr>
          <w:rFonts w:ascii="Arial" w:eastAsia="Arial" w:hAnsi="Arial" w:cs="Arial"/>
        </w:rPr>
      </w:pPr>
      <w:r>
        <w:rPr>
          <w:rFonts w:ascii="Arial" w:eastAsia="Arial" w:hAnsi="Arial" w:cs="Arial"/>
        </w:rPr>
        <w:t xml:space="preserve">Ostvarena suradnja sa turističkim agencijama i </w:t>
      </w:r>
      <w:proofErr w:type="spellStart"/>
      <w:r>
        <w:rPr>
          <w:rFonts w:ascii="Arial" w:eastAsia="Arial" w:hAnsi="Arial" w:cs="Arial"/>
        </w:rPr>
        <w:t>touroperatorima</w:t>
      </w:r>
      <w:proofErr w:type="spellEnd"/>
      <w:r>
        <w:rPr>
          <w:rFonts w:ascii="Arial" w:eastAsia="Arial" w:hAnsi="Arial" w:cs="Arial"/>
        </w:rPr>
        <w:t>, a vezano za projekt i dolazak posjetitelja.</w:t>
      </w:r>
    </w:p>
    <w:p w14:paraId="000000F5" w14:textId="77777777" w:rsidR="00DD574C" w:rsidRDefault="00000000">
      <w:pPr>
        <w:spacing w:after="0" w:line="240" w:lineRule="auto"/>
        <w:ind w:left="0" w:hanging="2"/>
        <w:rPr>
          <w:rFonts w:ascii="Arial" w:eastAsia="Arial" w:hAnsi="Arial" w:cs="Arial"/>
        </w:rPr>
      </w:pPr>
      <w:r>
        <w:rPr>
          <w:rFonts w:ascii="Arial" w:eastAsia="Arial" w:hAnsi="Arial" w:cs="Arial"/>
        </w:rPr>
        <w:t>&gt;&gt;od 0 do 10 bodova</w:t>
      </w:r>
    </w:p>
    <w:p w14:paraId="000000F6" w14:textId="77777777" w:rsidR="00DD574C" w:rsidRDefault="00000000">
      <w:pPr>
        <w:spacing w:after="0" w:line="240" w:lineRule="auto"/>
        <w:ind w:left="0" w:hanging="2"/>
        <w:rPr>
          <w:rFonts w:ascii="Arial" w:eastAsia="Arial" w:hAnsi="Arial" w:cs="Arial"/>
        </w:rPr>
      </w:pPr>
      <w:r>
        <w:rPr>
          <w:rFonts w:ascii="Arial" w:eastAsia="Arial" w:hAnsi="Arial" w:cs="Arial"/>
          <w:b/>
        </w:rPr>
        <w:t>9. Sveukupna procjena projekta i mogućnosti ostvarenja</w:t>
      </w:r>
    </w:p>
    <w:p w14:paraId="000000F7" w14:textId="77777777" w:rsidR="00DD574C" w:rsidRDefault="00000000">
      <w:pPr>
        <w:spacing w:after="0" w:line="240" w:lineRule="auto"/>
        <w:ind w:left="0" w:hanging="2"/>
        <w:rPr>
          <w:rFonts w:ascii="Arial" w:eastAsia="Arial" w:hAnsi="Arial" w:cs="Arial"/>
        </w:rPr>
      </w:pPr>
      <w:r>
        <w:rPr>
          <w:rFonts w:ascii="Arial" w:eastAsia="Arial" w:hAnsi="Arial" w:cs="Arial"/>
        </w:rPr>
        <w:t>&gt;&gt; od 0 do 20 bodova</w:t>
      </w:r>
    </w:p>
    <w:p w14:paraId="000000F8" w14:textId="77777777" w:rsidR="00DD574C" w:rsidRDefault="00DD574C">
      <w:pPr>
        <w:spacing w:after="0" w:line="240" w:lineRule="auto"/>
        <w:ind w:left="0" w:hanging="2"/>
        <w:rPr>
          <w:rFonts w:ascii="Arial" w:eastAsia="Arial" w:hAnsi="Arial" w:cs="Arial"/>
        </w:rPr>
      </w:pPr>
    </w:p>
    <w:p w14:paraId="000000F9" w14:textId="77777777" w:rsidR="00DD574C" w:rsidRDefault="00DD574C">
      <w:pPr>
        <w:spacing w:after="0" w:line="240" w:lineRule="auto"/>
        <w:ind w:left="0" w:hanging="2"/>
        <w:rPr>
          <w:rFonts w:ascii="Arial" w:eastAsia="Arial" w:hAnsi="Arial" w:cs="Arial"/>
        </w:rPr>
      </w:pPr>
    </w:p>
    <w:p w14:paraId="000000FA" w14:textId="77777777" w:rsidR="00DD574C" w:rsidRDefault="00DD574C">
      <w:pPr>
        <w:spacing w:after="0" w:line="240" w:lineRule="auto"/>
        <w:ind w:left="0" w:hanging="2"/>
        <w:rPr>
          <w:rFonts w:ascii="Arial" w:eastAsia="Arial" w:hAnsi="Arial" w:cs="Arial"/>
        </w:rPr>
      </w:pPr>
    </w:p>
    <w:p w14:paraId="000000FB" w14:textId="77777777" w:rsidR="00DD574C" w:rsidRDefault="00DD574C">
      <w:pPr>
        <w:spacing w:after="0" w:line="240" w:lineRule="auto"/>
        <w:ind w:left="0" w:hanging="2"/>
        <w:rPr>
          <w:rFonts w:ascii="Arial" w:eastAsia="Arial" w:hAnsi="Arial" w:cs="Arial"/>
        </w:rPr>
      </w:pPr>
    </w:p>
    <w:p w14:paraId="000000FC" w14:textId="77777777" w:rsidR="00DD574C" w:rsidRDefault="00DD574C">
      <w:pPr>
        <w:spacing w:after="0" w:line="240" w:lineRule="auto"/>
        <w:ind w:left="0" w:hanging="2"/>
        <w:rPr>
          <w:rFonts w:ascii="Arial" w:eastAsia="Arial" w:hAnsi="Arial" w:cs="Arial"/>
        </w:rPr>
      </w:pPr>
    </w:p>
    <w:p w14:paraId="000000FD" w14:textId="77777777" w:rsidR="00DD574C" w:rsidRDefault="00DD574C">
      <w:pPr>
        <w:spacing w:after="0" w:line="240" w:lineRule="auto"/>
        <w:ind w:left="0" w:hanging="2"/>
        <w:rPr>
          <w:rFonts w:ascii="Arial" w:eastAsia="Arial" w:hAnsi="Arial" w:cs="Arial"/>
        </w:rPr>
      </w:pPr>
    </w:p>
    <w:p w14:paraId="000000FE" w14:textId="77777777" w:rsidR="00DD574C" w:rsidRDefault="00DD574C">
      <w:pPr>
        <w:spacing w:after="0" w:line="240" w:lineRule="auto"/>
        <w:ind w:left="0" w:hanging="2"/>
        <w:rPr>
          <w:rFonts w:ascii="Arial" w:eastAsia="Arial" w:hAnsi="Arial" w:cs="Arial"/>
        </w:rPr>
      </w:pPr>
    </w:p>
    <w:p w14:paraId="000000FF" w14:textId="77777777" w:rsidR="00DD574C" w:rsidRDefault="00DD574C">
      <w:pPr>
        <w:spacing w:after="0" w:line="240" w:lineRule="auto"/>
        <w:ind w:left="0" w:hanging="2"/>
        <w:rPr>
          <w:rFonts w:ascii="Arial" w:eastAsia="Arial" w:hAnsi="Arial" w:cs="Arial"/>
        </w:rPr>
      </w:pPr>
    </w:p>
    <w:p w14:paraId="00000100" w14:textId="77777777" w:rsidR="00DD574C" w:rsidRDefault="00DD574C">
      <w:pPr>
        <w:spacing w:after="0" w:line="240" w:lineRule="auto"/>
        <w:ind w:left="0" w:hanging="2"/>
        <w:rPr>
          <w:rFonts w:ascii="Arial" w:eastAsia="Arial" w:hAnsi="Arial" w:cs="Arial"/>
        </w:rPr>
      </w:pPr>
    </w:p>
    <w:p w14:paraId="00000101" w14:textId="77777777" w:rsidR="00DD574C" w:rsidRDefault="00DD574C">
      <w:pPr>
        <w:spacing w:after="0" w:line="240" w:lineRule="auto"/>
        <w:ind w:left="0" w:hanging="2"/>
        <w:rPr>
          <w:rFonts w:ascii="Arial" w:eastAsia="Arial" w:hAnsi="Arial" w:cs="Arial"/>
        </w:rPr>
      </w:pPr>
    </w:p>
    <w:p w14:paraId="00000102" w14:textId="77777777" w:rsidR="00DD574C" w:rsidRDefault="00DD574C">
      <w:pPr>
        <w:spacing w:after="0" w:line="240" w:lineRule="auto"/>
        <w:ind w:left="0" w:hanging="2"/>
        <w:rPr>
          <w:rFonts w:ascii="Arial" w:eastAsia="Arial" w:hAnsi="Arial" w:cs="Arial"/>
        </w:rPr>
      </w:pPr>
    </w:p>
    <w:p w14:paraId="00000103" w14:textId="77777777" w:rsidR="00DD574C" w:rsidRDefault="00DD574C">
      <w:pPr>
        <w:spacing w:after="0" w:line="240" w:lineRule="auto"/>
        <w:ind w:left="0" w:hanging="2"/>
        <w:rPr>
          <w:rFonts w:ascii="Arial" w:eastAsia="Arial" w:hAnsi="Arial" w:cs="Arial"/>
        </w:rPr>
      </w:pPr>
    </w:p>
    <w:p w14:paraId="00000104" w14:textId="77777777" w:rsidR="00DD574C" w:rsidRDefault="00DD574C">
      <w:pPr>
        <w:spacing w:after="0" w:line="240" w:lineRule="auto"/>
        <w:ind w:left="0" w:hanging="2"/>
        <w:rPr>
          <w:rFonts w:ascii="Arial" w:eastAsia="Arial" w:hAnsi="Arial" w:cs="Arial"/>
        </w:rPr>
      </w:pPr>
    </w:p>
    <w:p w14:paraId="00000105" w14:textId="77777777" w:rsidR="00DD574C" w:rsidRDefault="00DD574C">
      <w:pPr>
        <w:spacing w:after="0" w:line="240" w:lineRule="auto"/>
        <w:ind w:left="0" w:hanging="2"/>
        <w:rPr>
          <w:rFonts w:ascii="Arial" w:eastAsia="Arial" w:hAnsi="Arial" w:cs="Arial"/>
        </w:rPr>
      </w:pPr>
    </w:p>
    <w:p w14:paraId="00000106" w14:textId="77777777" w:rsidR="00DD574C" w:rsidRDefault="00DD574C">
      <w:pPr>
        <w:spacing w:after="0" w:line="240" w:lineRule="auto"/>
        <w:ind w:left="0" w:hanging="2"/>
        <w:rPr>
          <w:rFonts w:ascii="Arial" w:eastAsia="Arial" w:hAnsi="Arial" w:cs="Arial"/>
        </w:rPr>
      </w:pPr>
    </w:p>
    <w:p w14:paraId="00000107" w14:textId="77777777" w:rsidR="00DD574C" w:rsidRDefault="00DD574C">
      <w:pPr>
        <w:spacing w:after="0" w:line="240" w:lineRule="auto"/>
        <w:ind w:left="0" w:hanging="2"/>
        <w:rPr>
          <w:rFonts w:ascii="Arial" w:eastAsia="Arial" w:hAnsi="Arial" w:cs="Arial"/>
        </w:rPr>
      </w:pPr>
    </w:p>
    <w:p w14:paraId="00000108" w14:textId="77777777" w:rsidR="00DD574C" w:rsidRDefault="00DD574C">
      <w:pPr>
        <w:spacing w:after="0" w:line="240" w:lineRule="auto"/>
        <w:ind w:left="0" w:hanging="2"/>
        <w:rPr>
          <w:rFonts w:ascii="Arial" w:eastAsia="Arial" w:hAnsi="Arial" w:cs="Arial"/>
        </w:rPr>
      </w:pPr>
    </w:p>
    <w:p w14:paraId="00000109" w14:textId="77777777" w:rsidR="00DD574C" w:rsidRDefault="00DD574C">
      <w:pPr>
        <w:spacing w:after="0" w:line="240" w:lineRule="auto"/>
        <w:ind w:left="0" w:hanging="2"/>
        <w:rPr>
          <w:rFonts w:ascii="Arial" w:eastAsia="Arial" w:hAnsi="Arial" w:cs="Arial"/>
        </w:rPr>
      </w:pPr>
    </w:p>
    <w:p w14:paraId="0000010A" w14:textId="77777777" w:rsidR="00DD574C" w:rsidRDefault="00DD574C">
      <w:pPr>
        <w:spacing w:after="0" w:line="240" w:lineRule="auto"/>
        <w:ind w:left="0" w:hanging="2"/>
        <w:rPr>
          <w:rFonts w:ascii="Arial" w:eastAsia="Arial" w:hAnsi="Arial" w:cs="Arial"/>
        </w:rPr>
      </w:pPr>
    </w:p>
    <w:p w14:paraId="0000010B" w14:textId="77777777" w:rsidR="00DD574C" w:rsidRDefault="00DD574C">
      <w:pPr>
        <w:spacing w:after="0" w:line="240" w:lineRule="auto"/>
        <w:ind w:left="0" w:hanging="2"/>
        <w:rPr>
          <w:rFonts w:ascii="Arial" w:eastAsia="Arial" w:hAnsi="Arial" w:cs="Arial"/>
        </w:rPr>
      </w:pPr>
    </w:p>
    <w:p w14:paraId="0000010C" w14:textId="77777777" w:rsidR="00DD574C" w:rsidRDefault="00000000">
      <w:pPr>
        <w:spacing w:after="0" w:line="240" w:lineRule="auto"/>
        <w:ind w:left="0" w:hanging="2"/>
        <w:rPr>
          <w:rFonts w:ascii="Arial" w:eastAsia="Arial" w:hAnsi="Arial" w:cs="Arial"/>
          <w:b/>
        </w:rPr>
      </w:pPr>
      <w:r>
        <w:rPr>
          <w:rFonts w:ascii="Arial" w:eastAsia="Arial" w:hAnsi="Arial" w:cs="Arial"/>
          <w:b/>
        </w:rPr>
        <w:t>Dodatno na navedene kriterije – za kongresne aktivnosti se određuju i sljedeći kriteriji:</w:t>
      </w:r>
    </w:p>
    <w:p w14:paraId="0000010D" w14:textId="77777777" w:rsidR="00DD574C" w:rsidRDefault="00DD574C">
      <w:pPr>
        <w:spacing w:after="0" w:line="240" w:lineRule="auto"/>
        <w:ind w:left="0" w:hanging="2"/>
        <w:rPr>
          <w:rFonts w:ascii="Arial" w:eastAsia="Arial" w:hAnsi="Arial" w:cs="Arial"/>
          <w:b/>
        </w:rPr>
      </w:pPr>
    </w:p>
    <w:p w14:paraId="0000010E" w14:textId="77777777" w:rsidR="00DD574C" w:rsidRDefault="00000000">
      <w:pPr>
        <w:spacing w:after="0" w:line="240" w:lineRule="auto"/>
        <w:ind w:left="0" w:hanging="2"/>
        <w:rPr>
          <w:rFonts w:ascii="Arial" w:eastAsia="Arial" w:hAnsi="Arial" w:cs="Arial"/>
        </w:rPr>
      </w:pPr>
      <w:r>
        <w:rPr>
          <w:rFonts w:ascii="Arial" w:eastAsia="Arial" w:hAnsi="Arial" w:cs="Arial"/>
          <w:b/>
        </w:rPr>
        <w:t xml:space="preserve">1. Broj sudionika konferencije, kongresa, poslovnog skupa, </w:t>
      </w:r>
      <w:proofErr w:type="spellStart"/>
      <w:r>
        <w:rPr>
          <w:rFonts w:ascii="Arial" w:eastAsia="Arial" w:hAnsi="Arial" w:cs="Arial"/>
          <w:b/>
        </w:rPr>
        <w:t>incentive</w:t>
      </w:r>
      <w:proofErr w:type="spellEnd"/>
      <w:r>
        <w:rPr>
          <w:rFonts w:ascii="Arial" w:eastAsia="Arial" w:hAnsi="Arial" w:cs="Arial"/>
          <w:b/>
        </w:rPr>
        <w:t xml:space="preserve"> putovanja – ostvarenja noćenja u Zagrebu</w:t>
      </w:r>
    </w:p>
    <w:p w14:paraId="0000010F" w14:textId="77777777" w:rsidR="00DD574C" w:rsidRDefault="00000000">
      <w:pPr>
        <w:spacing w:after="0" w:line="240" w:lineRule="auto"/>
        <w:ind w:left="0" w:hanging="2"/>
        <w:rPr>
          <w:rFonts w:ascii="Arial" w:eastAsia="Arial" w:hAnsi="Arial" w:cs="Arial"/>
        </w:rPr>
      </w:pPr>
      <w:r>
        <w:rPr>
          <w:rFonts w:ascii="Arial" w:eastAsia="Arial" w:hAnsi="Arial" w:cs="Arial"/>
        </w:rPr>
        <w:t>&gt;&gt; od 0 do 20 bodova</w:t>
      </w:r>
    </w:p>
    <w:p w14:paraId="00000110" w14:textId="77777777" w:rsidR="00DD574C" w:rsidRDefault="00000000">
      <w:pPr>
        <w:spacing w:after="0" w:line="240" w:lineRule="auto"/>
        <w:ind w:left="0" w:hanging="2"/>
        <w:rPr>
          <w:rFonts w:ascii="Arial" w:eastAsia="Arial" w:hAnsi="Arial" w:cs="Arial"/>
        </w:rPr>
      </w:pPr>
      <w:r>
        <w:rPr>
          <w:rFonts w:ascii="Arial" w:eastAsia="Arial" w:hAnsi="Arial" w:cs="Arial"/>
          <w:b/>
        </w:rPr>
        <w:t>2. Značaj poslovnog događaja za destinaciju</w:t>
      </w:r>
    </w:p>
    <w:p w14:paraId="00000111" w14:textId="77777777" w:rsidR="00DD574C" w:rsidRDefault="00000000">
      <w:pPr>
        <w:spacing w:after="0" w:line="240" w:lineRule="auto"/>
        <w:ind w:left="0" w:hanging="2"/>
        <w:rPr>
          <w:rFonts w:ascii="Arial" w:eastAsia="Arial" w:hAnsi="Arial" w:cs="Arial"/>
        </w:rPr>
      </w:pPr>
      <w:r>
        <w:rPr>
          <w:rFonts w:ascii="Arial" w:eastAsia="Arial" w:hAnsi="Arial" w:cs="Arial"/>
        </w:rPr>
        <w:t>Na koji način navedeno događanje utječe na ugled kongresne destinacije u pogledu daljnjih referenci.</w:t>
      </w:r>
    </w:p>
    <w:p w14:paraId="00000112" w14:textId="77777777" w:rsidR="00DD574C" w:rsidRDefault="00000000">
      <w:pPr>
        <w:spacing w:after="0" w:line="240" w:lineRule="auto"/>
        <w:ind w:left="0" w:hanging="2"/>
        <w:rPr>
          <w:rFonts w:ascii="Arial" w:eastAsia="Arial" w:hAnsi="Arial" w:cs="Arial"/>
        </w:rPr>
      </w:pPr>
      <w:r>
        <w:rPr>
          <w:rFonts w:ascii="Arial" w:eastAsia="Arial" w:hAnsi="Arial" w:cs="Arial"/>
        </w:rPr>
        <w:t>&gt;&gt;od 0 do 10 bodova</w:t>
      </w:r>
    </w:p>
    <w:p w14:paraId="00000113" w14:textId="77777777" w:rsidR="00DD574C" w:rsidRDefault="00000000">
      <w:pPr>
        <w:spacing w:after="0" w:line="240" w:lineRule="auto"/>
        <w:ind w:left="0" w:hanging="2"/>
        <w:rPr>
          <w:rFonts w:ascii="Arial" w:eastAsia="Arial" w:hAnsi="Arial" w:cs="Arial"/>
        </w:rPr>
      </w:pPr>
      <w:r>
        <w:rPr>
          <w:rFonts w:ascii="Arial" w:eastAsia="Arial" w:hAnsi="Arial" w:cs="Arial"/>
          <w:b/>
        </w:rPr>
        <w:t>3. Doprinos kongresnoj industriji grada</w:t>
      </w:r>
    </w:p>
    <w:p w14:paraId="00000114" w14:textId="77777777" w:rsidR="00DD574C" w:rsidRDefault="00000000">
      <w:pPr>
        <w:spacing w:after="0" w:line="240" w:lineRule="auto"/>
        <w:ind w:left="0" w:hanging="2"/>
        <w:rPr>
          <w:rFonts w:ascii="Arial" w:eastAsia="Arial" w:hAnsi="Arial" w:cs="Arial"/>
        </w:rPr>
      </w:pPr>
      <w:r>
        <w:rPr>
          <w:rFonts w:ascii="Arial" w:eastAsia="Arial" w:hAnsi="Arial" w:cs="Arial"/>
        </w:rPr>
        <w:t>Koliko poslovni skup/poslovni događaj doprinosi kongresnoj industriji grada (hotelima, kongresnim prostorima, specijaliziranim agencijama PCO i DMC).</w:t>
      </w:r>
    </w:p>
    <w:p w14:paraId="00000115" w14:textId="77777777" w:rsidR="00DD574C" w:rsidRDefault="00000000">
      <w:pPr>
        <w:spacing w:after="0" w:line="240" w:lineRule="auto"/>
        <w:ind w:left="0" w:hanging="2"/>
        <w:rPr>
          <w:rFonts w:ascii="Arial" w:eastAsia="Arial" w:hAnsi="Arial" w:cs="Arial"/>
        </w:rPr>
      </w:pPr>
      <w:r>
        <w:rPr>
          <w:rFonts w:ascii="Arial" w:eastAsia="Arial" w:hAnsi="Arial" w:cs="Arial"/>
        </w:rPr>
        <w:t>&gt;&gt;od 0 do 10 bodova</w:t>
      </w:r>
    </w:p>
    <w:p w14:paraId="00000116" w14:textId="77777777" w:rsidR="00DD574C" w:rsidRDefault="00000000">
      <w:pPr>
        <w:spacing w:after="0" w:line="240" w:lineRule="auto"/>
        <w:ind w:left="0" w:hanging="2"/>
        <w:rPr>
          <w:rFonts w:ascii="Arial" w:eastAsia="Arial" w:hAnsi="Arial" w:cs="Arial"/>
        </w:rPr>
      </w:pPr>
      <w:r>
        <w:rPr>
          <w:rFonts w:ascii="Arial" w:eastAsia="Arial" w:hAnsi="Arial" w:cs="Arial"/>
          <w:b/>
        </w:rPr>
        <w:t>4. Ponavljanje i mogućnost ponavljanja</w:t>
      </w:r>
    </w:p>
    <w:p w14:paraId="00000117" w14:textId="77777777" w:rsidR="00DD574C" w:rsidRDefault="00000000">
      <w:pPr>
        <w:spacing w:after="0" w:line="240" w:lineRule="auto"/>
        <w:ind w:left="0" w:hanging="2"/>
        <w:rPr>
          <w:rFonts w:ascii="Arial" w:eastAsia="Arial" w:hAnsi="Arial" w:cs="Arial"/>
        </w:rPr>
      </w:pPr>
      <w:r>
        <w:rPr>
          <w:rFonts w:ascii="Arial" w:eastAsia="Arial" w:hAnsi="Arial" w:cs="Arial"/>
        </w:rPr>
        <w:t xml:space="preserve">Poslovni skupovi/događaji koji se više godina za redom, ili u pravilnim razmacima održavaju u Zagrebu ili nova događanja koja imaju tendenciju postati trajna događanja. </w:t>
      </w:r>
    </w:p>
    <w:p w14:paraId="00000118" w14:textId="77777777" w:rsidR="00DD574C" w:rsidRDefault="00000000">
      <w:pPr>
        <w:spacing w:after="0" w:line="240" w:lineRule="auto"/>
        <w:ind w:left="0" w:hanging="2"/>
        <w:rPr>
          <w:rFonts w:ascii="Arial" w:eastAsia="Arial" w:hAnsi="Arial" w:cs="Arial"/>
        </w:rPr>
      </w:pPr>
      <w:r>
        <w:rPr>
          <w:rFonts w:ascii="Arial" w:eastAsia="Arial" w:hAnsi="Arial" w:cs="Arial"/>
        </w:rPr>
        <w:t>&gt;&gt;od 0 do 10 bodova</w:t>
      </w:r>
    </w:p>
    <w:p w14:paraId="00000119" w14:textId="77777777" w:rsidR="00DD574C" w:rsidRDefault="00DD574C">
      <w:pPr>
        <w:spacing w:after="0" w:line="240" w:lineRule="auto"/>
        <w:ind w:left="0" w:hanging="2"/>
        <w:jc w:val="both"/>
        <w:rPr>
          <w:rFonts w:ascii="Arial" w:eastAsia="Arial" w:hAnsi="Arial" w:cs="Arial"/>
          <w:color w:val="FF0000"/>
        </w:rPr>
      </w:pPr>
    </w:p>
    <w:p w14:paraId="0000011A" w14:textId="77777777" w:rsidR="00DD574C" w:rsidRDefault="00DD574C">
      <w:pPr>
        <w:spacing w:after="0" w:line="240" w:lineRule="auto"/>
        <w:ind w:left="0" w:hanging="2"/>
        <w:jc w:val="both"/>
        <w:rPr>
          <w:rFonts w:ascii="Arial" w:eastAsia="Arial" w:hAnsi="Arial" w:cs="Arial"/>
          <w:color w:val="FF0000"/>
        </w:rPr>
      </w:pPr>
    </w:p>
    <w:sectPr w:rsidR="00DD574C">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C99A" w14:textId="77777777" w:rsidR="00E0646D" w:rsidRDefault="00E0646D">
      <w:pPr>
        <w:spacing w:after="0" w:line="240" w:lineRule="auto"/>
        <w:ind w:left="0" w:hanging="2"/>
      </w:pPr>
      <w:r>
        <w:separator/>
      </w:r>
    </w:p>
  </w:endnote>
  <w:endnote w:type="continuationSeparator" w:id="0">
    <w:p w14:paraId="09F8D789" w14:textId="77777777" w:rsidR="00E0646D" w:rsidRDefault="00E0646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 w:name="MS Sans Serif">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D7C51" w14:textId="77777777" w:rsidR="00E0646D" w:rsidRDefault="00E0646D">
      <w:pPr>
        <w:spacing w:after="0" w:line="240" w:lineRule="auto"/>
        <w:ind w:left="0" w:hanging="2"/>
      </w:pPr>
      <w:r>
        <w:separator/>
      </w:r>
    </w:p>
  </w:footnote>
  <w:footnote w:type="continuationSeparator" w:id="0">
    <w:p w14:paraId="55979881" w14:textId="77777777" w:rsidR="00E0646D" w:rsidRDefault="00E0646D">
      <w:pPr>
        <w:spacing w:after="0" w:line="240" w:lineRule="auto"/>
        <w:ind w:left="0" w:hanging="2"/>
      </w:pPr>
      <w:r>
        <w:continuationSeparator/>
      </w:r>
    </w:p>
  </w:footnote>
  <w:footnote w:id="1">
    <w:p w14:paraId="0000011B" w14:textId="77777777" w:rsidR="00DD574C" w:rsidRDefault="00000000">
      <w:pPr>
        <w:pBdr>
          <w:top w:val="nil"/>
          <w:left w:val="nil"/>
          <w:bottom w:val="nil"/>
          <w:right w:val="nil"/>
          <w:between w:val="nil"/>
        </w:pBdr>
        <w:spacing w:after="0" w:line="240" w:lineRule="auto"/>
        <w:ind w:left="0" w:hanging="2"/>
        <w:rPr>
          <w:color w:val="000000"/>
          <w:sz w:val="20"/>
          <w:szCs w:val="20"/>
        </w:rPr>
      </w:pPr>
      <w:r>
        <w:rPr>
          <w:rStyle w:val="FootnoteReference"/>
        </w:rPr>
        <w:footnoteRef/>
      </w:r>
      <w:r>
        <w:rPr>
          <w:color w:val="000000"/>
          <w:sz w:val="18"/>
          <w:szCs w:val="18"/>
        </w:rPr>
        <w:t xml:space="preserve"> SL L 114, 26.04.2012., str. 8</w:t>
      </w:r>
    </w:p>
  </w:footnote>
  <w:footnote w:id="2">
    <w:p w14:paraId="0000011C" w14:textId="77777777" w:rsidR="00DD574C" w:rsidRDefault="00000000">
      <w:pPr>
        <w:pBdr>
          <w:top w:val="nil"/>
          <w:left w:val="nil"/>
          <w:bottom w:val="nil"/>
          <w:right w:val="nil"/>
          <w:between w:val="nil"/>
        </w:pBdr>
        <w:spacing w:after="0" w:line="240" w:lineRule="auto"/>
        <w:ind w:left="0" w:hanging="2"/>
        <w:rPr>
          <w:color w:val="000000"/>
          <w:sz w:val="20"/>
          <w:szCs w:val="20"/>
        </w:rPr>
      </w:pPr>
      <w:r>
        <w:rPr>
          <w:rStyle w:val="FootnoteReference"/>
        </w:rPr>
        <w:footnoteRef/>
      </w:r>
      <w:r>
        <w:rPr>
          <w:color w:val="000000"/>
          <w:sz w:val="18"/>
          <w:szCs w:val="18"/>
        </w:rPr>
        <w:t xml:space="preserve"> SL L 248/9, 24.9.2015.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2CA"/>
    <w:multiLevelType w:val="multilevel"/>
    <w:tmpl w:val="D4485D0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9C73AA"/>
    <w:multiLevelType w:val="multilevel"/>
    <w:tmpl w:val="33DC01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720BD7"/>
    <w:multiLevelType w:val="multilevel"/>
    <w:tmpl w:val="AD5ADB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DE364F0"/>
    <w:multiLevelType w:val="multilevel"/>
    <w:tmpl w:val="1B7CEA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76B1669"/>
    <w:multiLevelType w:val="multilevel"/>
    <w:tmpl w:val="BCA22C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7F07745"/>
    <w:multiLevelType w:val="multilevel"/>
    <w:tmpl w:val="E5C082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AEA2DD9"/>
    <w:multiLevelType w:val="multilevel"/>
    <w:tmpl w:val="31E6B0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1C828B8"/>
    <w:multiLevelType w:val="multilevel"/>
    <w:tmpl w:val="99387DE4"/>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4FB7576"/>
    <w:multiLevelType w:val="multilevel"/>
    <w:tmpl w:val="FB9C58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72562C3"/>
    <w:multiLevelType w:val="multilevel"/>
    <w:tmpl w:val="43AC98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A2924BB"/>
    <w:multiLevelType w:val="multilevel"/>
    <w:tmpl w:val="C55A8C32"/>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1" w15:restartNumberingAfterBreak="0">
    <w:nsid w:val="39B04715"/>
    <w:multiLevelType w:val="multilevel"/>
    <w:tmpl w:val="62CC8E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AAD2DCD"/>
    <w:multiLevelType w:val="multilevel"/>
    <w:tmpl w:val="7C52B2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0B40B52"/>
    <w:multiLevelType w:val="multilevel"/>
    <w:tmpl w:val="D6F2BF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76E0285"/>
    <w:multiLevelType w:val="multilevel"/>
    <w:tmpl w:val="9AF8C91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B9078F0"/>
    <w:multiLevelType w:val="multilevel"/>
    <w:tmpl w:val="E65023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5D0262BF"/>
    <w:multiLevelType w:val="multilevel"/>
    <w:tmpl w:val="F86E34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97618CF"/>
    <w:multiLevelType w:val="multilevel"/>
    <w:tmpl w:val="01323F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6C053B1E"/>
    <w:multiLevelType w:val="multilevel"/>
    <w:tmpl w:val="6B82B59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0454F87"/>
    <w:multiLevelType w:val="multilevel"/>
    <w:tmpl w:val="42B45F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7F2D3519"/>
    <w:multiLevelType w:val="multilevel"/>
    <w:tmpl w:val="77CE7B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335961754">
    <w:abstractNumId w:val="0"/>
  </w:num>
  <w:num w:numId="2" w16cid:durableId="795951489">
    <w:abstractNumId w:val="19"/>
  </w:num>
  <w:num w:numId="3" w16cid:durableId="1828012885">
    <w:abstractNumId w:val="2"/>
  </w:num>
  <w:num w:numId="4" w16cid:durableId="2051804543">
    <w:abstractNumId w:val="15"/>
  </w:num>
  <w:num w:numId="5" w16cid:durableId="1863397577">
    <w:abstractNumId w:val="12"/>
  </w:num>
  <w:num w:numId="6" w16cid:durableId="1177427056">
    <w:abstractNumId w:val="8"/>
  </w:num>
  <w:num w:numId="7" w16cid:durableId="1946964155">
    <w:abstractNumId w:val="20"/>
  </w:num>
  <w:num w:numId="8" w16cid:durableId="1225331806">
    <w:abstractNumId w:val="3"/>
  </w:num>
  <w:num w:numId="9" w16cid:durableId="997923389">
    <w:abstractNumId w:val="6"/>
  </w:num>
  <w:num w:numId="10" w16cid:durableId="493032136">
    <w:abstractNumId w:val="13"/>
  </w:num>
  <w:num w:numId="11" w16cid:durableId="2010676500">
    <w:abstractNumId w:val="1"/>
  </w:num>
  <w:num w:numId="12" w16cid:durableId="1241406867">
    <w:abstractNumId w:val="17"/>
  </w:num>
  <w:num w:numId="13" w16cid:durableId="439379957">
    <w:abstractNumId w:val="7"/>
  </w:num>
  <w:num w:numId="14" w16cid:durableId="40642693">
    <w:abstractNumId w:val="10"/>
  </w:num>
  <w:num w:numId="15" w16cid:durableId="1392197741">
    <w:abstractNumId w:val="9"/>
  </w:num>
  <w:num w:numId="16" w16cid:durableId="1501308312">
    <w:abstractNumId w:val="16"/>
  </w:num>
  <w:num w:numId="17" w16cid:durableId="1524593521">
    <w:abstractNumId w:val="18"/>
  </w:num>
  <w:num w:numId="18" w16cid:durableId="1751853654">
    <w:abstractNumId w:val="14"/>
  </w:num>
  <w:num w:numId="19" w16cid:durableId="1540632407">
    <w:abstractNumId w:val="4"/>
  </w:num>
  <w:num w:numId="20" w16cid:durableId="1156872463">
    <w:abstractNumId w:val="11"/>
  </w:num>
  <w:num w:numId="21" w16cid:durableId="196234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4C"/>
    <w:rsid w:val="00DD12B3"/>
    <w:rsid w:val="00DD574C"/>
    <w:rsid w:val="00E064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8150F-D530-4937-B810-EA2823B0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HR" w:eastAsia="hr-HR"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paragraph" w:customStyle="1" w:styleId="t-10-9-kurz-s-ispod">
    <w:name w:val="t-10-9-kurz-s-ispod"/>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urziv">
    <w:name w:val="kurziv"/>
    <w:basedOn w:val="DefaultParagraphFont"/>
    <w:rPr>
      <w:w w:val="100"/>
      <w:position w:val="-1"/>
      <w:effect w:val="none"/>
      <w:vertAlign w:val="baseline"/>
      <w:cs w:val="0"/>
      <w:em w:val="none"/>
    </w:rPr>
  </w:style>
  <w:style w:type="paragraph" w:customStyle="1" w:styleId="clanak-">
    <w:name w:val="clanak-"/>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
    <w:name w:val="t-9-8"/>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
    <w:name w:val="t-10-9-kurz-s"/>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Verdana" w:eastAsia="SimSun" w:hAnsi="Verdana" w:cs="Verdana"/>
      <w:color w:val="000000"/>
      <w:position w:val="-1"/>
      <w:sz w:val="24"/>
      <w:szCs w:val="24"/>
    </w:rPr>
  </w:style>
  <w:style w:type="paragraph" w:customStyle="1" w:styleId="Pa1">
    <w:name w:val="Pa1"/>
    <w:basedOn w:val="Default"/>
    <w:next w:val="Default"/>
    <w:pPr>
      <w:spacing w:line="241" w:lineRule="atLeast"/>
      <w:ind w:left="357"/>
    </w:pPr>
    <w:rPr>
      <w:rFonts w:ascii="MS Sans Serif" w:eastAsia="Calibri" w:hAnsi="MS Sans Serif" w:cs="MS Sans Serif"/>
      <w:color w:val="auto"/>
      <w:lang w:eastAsia="en-US"/>
    </w:rPr>
  </w:style>
  <w:style w:type="paragraph" w:styleId="NoSpacing">
    <w:name w:val="No Spacing"/>
    <w:pPr>
      <w:suppressAutoHyphens/>
      <w:overflowPunct w:val="0"/>
      <w:autoSpaceDE w:val="0"/>
      <w:autoSpaceDN w:val="0"/>
      <w:adjustRightInd w:val="0"/>
      <w:spacing w:line="1" w:lineRule="atLeast"/>
      <w:ind w:leftChars="-1" w:left="357" w:hangingChars="1"/>
      <w:textDirection w:val="btLr"/>
      <w:textAlignment w:val="baseline"/>
      <w:outlineLvl w:val="0"/>
    </w:pPr>
    <w:rPr>
      <w:rFonts w:ascii="MS Sans Serif" w:hAnsi="MS Sans Serif" w:cs="MS Sans Serif"/>
      <w:position w:val="-1"/>
    </w:rPr>
  </w:style>
  <w:style w:type="character" w:customStyle="1" w:styleId="NoSpacingChar">
    <w:name w:val="No Spacing Char"/>
    <w:rPr>
      <w:rFonts w:ascii="MS Sans Serif" w:eastAsia="Times New Roman" w:hAnsi="MS Sans Serif" w:cs="MS Sans Serif"/>
      <w:w w:val="100"/>
      <w:position w:val="-1"/>
      <w:sz w:val="20"/>
      <w:szCs w:val="20"/>
      <w:effect w:val="none"/>
      <w:vertAlign w:val="baseline"/>
      <w:cs w:val="0"/>
      <w:em w:val="none"/>
      <w:lang w:eastAsia="hr-HR"/>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italic">
    <w:name w:val="italic"/>
    <w:basedOn w:val="DefaultParagraphFon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FootnoteText">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zgz.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ZcwyztpQIO4by6BiZWmhzgLwdA==">AMUW2mXcdTdqf8VyQK7oKc3ecC0FDHMbTmWd23PZbaE+//L12eexNPz2QSTUIxTLx+bMjf6c8ZxUs9LmZExPcHjsv9/hzewoASd8EGsHIEhkqiM5kGV9pzE=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3589</Words>
  <Characters>20463</Characters>
  <Application>Microsoft Office Word</Application>
  <DocSecurity>0</DocSecurity>
  <Lines>170</Lines>
  <Paragraphs>48</Paragraphs>
  <ScaleCrop>false</ScaleCrop>
  <Company/>
  <LinksUpToDate>false</LinksUpToDate>
  <CharactersWithSpaces>24004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Zlatan Janeš</dc:creator>
  <cp:lastModifiedBy>TZGZ 02</cp:lastModifiedBy>
  <cp:revision>2</cp:revision>
  <dcterms:created xsi:type="dcterms:W3CDTF">2022-07-13T07:05:00Z</dcterms:created>
  <dcterms:modified xsi:type="dcterms:W3CDTF">2022-07-13T07:05:00Z</dcterms:modified>
</cp:coreProperties>
</file>