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2828"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Na temelju članka 32., stavka 1., točke 1.4 i 1.5, članka  38., stavka 1. točke 1.6, 1.8 i 2.3 Zakona o turističkim zajednicama i promicanju hrvatskog turizma (Narodne novine br. 52/2019, 42/2020), članka 12., Statuta Turističke zajednice grada Zagreba (Narodne novine, br.</w:t>
      </w:r>
      <w:r>
        <w:t xml:space="preserve">     </w:t>
      </w:r>
      <w:r>
        <w:rPr>
          <w:rFonts w:ascii="Arial" w:eastAsia="Arial" w:hAnsi="Arial" w:cs="Arial"/>
        </w:rPr>
        <w:t xml:space="preserve"> 127/20 ) i Uredbe Komisije (EU) 1407/13  od 18. prosinca 2013. godine o primjeni članka 107. i 108. Ugovora o funkcioniranju Europske unije na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i/>
        </w:rPr>
        <w:t xml:space="preserve"> </w:t>
      </w:r>
      <w:r>
        <w:rPr>
          <w:rFonts w:ascii="Arial" w:eastAsia="Arial" w:hAnsi="Arial" w:cs="Arial"/>
        </w:rPr>
        <w:t xml:space="preserve">potpore  (SL L 352/1, 24.12.2013.) i Uredbe Komisije (EU) br. 2020/972 od 2. srpnja 2020. o izmjeni Uredbe (EU) br. 1407/2013 u pogledu njezina produljenja i o izmjeni Uredbe (EU) br. 651/2014 u pogledu njezina produljenja i odgovarajućih prilagodbi (SL L 215/3, 7.7.2020.)., Turističko vijeće Turističke zajednice grada Zagreba na svojoj </w:t>
      </w:r>
      <w:r w:rsidRPr="00F709C4">
        <w:rPr>
          <w:rFonts w:ascii="Arial" w:eastAsia="Arial" w:hAnsi="Arial" w:cs="Arial"/>
        </w:rPr>
        <w:t>sjednici 4. srpnja 2023.</w:t>
      </w:r>
      <w:r>
        <w:rPr>
          <w:rFonts w:ascii="Arial" w:eastAsia="Arial" w:hAnsi="Arial" w:cs="Arial"/>
        </w:rPr>
        <w:t xml:space="preserve"> godine donosi </w:t>
      </w:r>
    </w:p>
    <w:p w14:paraId="00436DB6" w14:textId="77777777" w:rsidR="00F709C4" w:rsidRDefault="00F709C4" w:rsidP="00F709C4">
      <w:pPr>
        <w:spacing w:after="0" w:line="240" w:lineRule="auto"/>
        <w:ind w:left="0" w:hanging="2"/>
        <w:jc w:val="both"/>
        <w:rPr>
          <w:rFonts w:ascii="Arial" w:eastAsia="Arial" w:hAnsi="Arial" w:cs="Arial"/>
        </w:rPr>
      </w:pPr>
    </w:p>
    <w:p w14:paraId="35D4972A" w14:textId="77777777" w:rsidR="00F709C4" w:rsidRDefault="00F709C4" w:rsidP="00F709C4">
      <w:pPr>
        <w:spacing w:after="0" w:line="240" w:lineRule="auto"/>
        <w:ind w:left="0" w:hanging="2"/>
        <w:jc w:val="both"/>
        <w:rPr>
          <w:rFonts w:ascii="Arial" w:eastAsia="Arial" w:hAnsi="Arial" w:cs="Arial"/>
        </w:rPr>
      </w:pPr>
    </w:p>
    <w:p w14:paraId="37B7FB01"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b/>
        </w:rPr>
        <w:t xml:space="preserve">PROGRAM </w:t>
      </w:r>
    </w:p>
    <w:p w14:paraId="282527F0" w14:textId="77777777" w:rsidR="00F709C4" w:rsidRPr="00F709C4" w:rsidRDefault="00F709C4" w:rsidP="00F709C4">
      <w:pPr>
        <w:spacing w:after="0" w:line="240" w:lineRule="auto"/>
        <w:ind w:left="0" w:hanging="2"/>
        <w:jc w:val="center"/>
        <w:rPr>
          <w:rFonts w:ascii="Arial" w:eastAsia="Arial" w:hAnsi="Arial" w:cs="Arial"/>
        </w:rPr>
      </w:pPr>
      <w:r>
        <w:rPr>
          <w:rFonts w:ascii="Arial" w:eastAsia="Arial" w:hAnsi="Arial" w:cs="Arial"/>
          <w:b/>
        </w:rPr>
        <w:t xml:space="preserve">DODJELE </w:t>
      </w:r>
      <w:r>
        <w:rPr>
          <w:rFonts w:ascii="Arial" w:eastAsia="Arial" w:hAnsi="Arial" w:cs="Arial"/>
          <w:b/>
          <w:i/>
        </w:rPr>
        <w:t>DE MINIMIS</w:t>
      </w:r>
      <w:r>
        <w:rPr>
          <w:rFonts w:ascii="Arial" w:eastAsia="Arial" w:hAnsi="Arial" w:cs="Arial"/>
          <w:b/>
        </w:rPr>
        <w:t xml:space="preserve"> POTPORA  ZA RAZVOJ TURISTIČKOG PROIZVODA GRADA ZAGREBA U </w:t>
      </w:r>
      <w:r w:rsidRPr="00F709C4">
        <w:rPr>
          <w:rFonts w:ascii="Arial" w:eastAsia="Arial" w:hAnsi="Arial" w:cs="Arial"/>
          <w:b/>
        </w:rPr>
        <w:t>2024. GODINI</w:t>
      </w:r>
    </w:p>
    <w:p w14:paraId="3479DC1C" w14:textId="77777777" w:rsidR="00F709C4" w:rsidRPr="00F709C4" w:rsidRDefault="00F709C4" w:rsidP="00F709C4">
      <w:pPr>
        <w:spacing w:after="0" w:line="240" w:lineRule="auto"/>
        <w:ind w:left="0" w:hanging="2"/>
        <w:jc w:val="center"/>
        <w:rPr>
          <w:rFonts w:ascii="Arial" w:eastAsia="Arial" w:hAnsi="Arial" w:cs="Arial"/>
        </w:rPr>
      </w:pPr>
    </w:p>
    <w:p w14:paraId="41FDE14F" w14:textId="77777777" w:rsidR="00F709C4" w:rsidRPr="00F709C4" w:rsidRDefault="00F709C4" w:rsidP="00F709C4">
      <w:pPr>
        <w:spacing w:after="0" w:line="240" w:lineRule="auto"/>
        <w:ind w:left="0" w:hanging="2"/>
        <w:jc w:val="center"/>
        <w:rPr>
          <w:rFonts w:ascii="Arial" w:eastAsia="Arial" w:hAnsi="Arial" w:cs="Arial"/>
        </w:rPr>
      </w:pPr>
      <w:r w:rsidRPr="00F709C4">
        <w:rPr>
          <w:rFonts w:ascii="Arial" w:eastAsia="Arial" w:hAnsi="Arial" w:cs="Arial"/>
        </w:rPr>
        <w:t>Članak 1.</w:t>
      </w:r>
    </w:p>
    <w:p w14:paraId="43B963F3" w14:textId="77777777" w:rsidR="00F709C4" w:rsidRPr="00F709C4" w:rsidRDefault="00F709C4" w:rsidP="00F709C4">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Programom dodjele </w:t>
      </w:r>
      <w:r w:rsidRPr="00F709C4">
        <w:rPr>
          <w:rFonts w:ascii="Arial" w:eastAsia="Arial" w:hAnsi="Arial" w:cs="Arial"/>
          <w:i/>
          <w:color w:val="000000"/>
        </w:rPr>
        <w:t xml:space="preserve">de </w:t>
      </w:r>
      <w:proofErr w:type="spellStart"/>
      <w:r w:rsidRPr="00F709C4">
        <w:rPr>
          <w:rFonts w:ascii="Arial" w:eastAsia="Arial" w:hAnsi="Arial" w:cs="Arial"/>
          <w:i/>
          <w:color w:val="000000"/>
        </w:rPr>
        <w:t>minimis</w:t>
      </w:r>
      <w:proofErr w:type="spellEnd"/>
      <w:r w:rsidRPr="00F709C4">
        <w:rPr>
          <w:rFonts w:ascii="Arial" w:eastAsia="Arial" w:hAnsi="Arial" w:cs="Arial"/>
          <w:color w:val="000000"/>
        </w:rPr>
        <w:t xml:space="preserve"> potpora za razvoj turističkog proizvoda grada Zagreba u 202</w:t>
      </w:r>
      <w:r w:rsidRPr="00F709C4">
        <w:rPr>
          <w:rFonts w:ascii="Arial" w:eastAsia="Arial" w:hAnsi="Arial" w:cs="Arial"/>
        </w:rPr>
        <w:t>4</w:t>
      </w:r>
      <w:r w:rsidRPr="00F709C4">
        <w:rPr>
          <w:rFonts w:ascii="Arial" w:eastAsia="Arial" w:hAnsi="Arial" w:cs="Arial"/>
          <w:color w:val="000000"/>
        </w:rPr>
        <w:t xml:space="preserve">. godini (dalje: Program) uređuju se uvjeti, kriteriji i način dodjele potpora </w:t>
      </w:r>
      <w:r w:rsidRPr="00F709C4">
        <w:rPr>
          <w:rFonts w:ascii="Arial" w:eastAsia="Arial" w:hAnsi="Arial" w:cs="Arial"/>
          <w:i/>
          <w:color w:val="000000"/>
        </w:rPr>
        <w:t xml:space="preserve">de </w:t>
      </w:r>
      <w:proofErr w:type="spellStart"/>
      <w:r w:rsidRPr="00F709C4">
        <w:rPr>
          <w:rFonts w:ascii="Arial" w:eastAsia="Arial" w:hAnsi="Arial" w:cs="Arial"/>
          <w:i/>
          <w:color w:val="000000"/>
        </w:rPr>
        <w:t>minimis</w:t>
      </w:r>
      <w:proofErr w:type="spellEnd"/>
      <w:r w:rsidRPr="00F709C4">
        <w:rPr>
          <w:rFonts w:ascii="Arial" w:eastAsia="Arial" w:hAnsi="Arial" w:cs="Arial"/>
          <w:color w:val="000000"/>
        </w:rPr>
        <w:t xml:space="preserve"> (dalje: potpora), koje dodjeljuje Turistička zajednica grada Zagreba (dalje: TZGZ) za sufinanciranje troškova predviđenih ovim Programom.</w:t>
      </w:r>
    </w:p>
    <w:p w14:paraId="3A3C295C" w14:textId="77777777" w:rsidR="00F709C4" w:rsidRPr="00F709C4" w:rsidRDefault="00F709C4" w:rsidP="00F709C4">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Dodjela potpora na temelju ovog Programa je u skladu s odredbama Uredbe Komisije (EU) 1407/13  od 18. prosinca 2013. godine o primjeni članka 107. i 108. Ugovora o funkcioniranju Europske unije na </w:t>
      </w:r>
      <w:r w:rsidRPr="00F709C4">
        <w:rPr>
          <w:rFonts w:ascii="Arial" w:eastAsia="Arial" w:hAnsi="Arial" w:cs="Arial"/>
          <w:i/>
          <w:color w:val="000000"/>
        </w:rPr>
        <w:t xml:space="preserve">de </w:t>
      </w:r>
      <w:proofErr w:type="spellStart"/>
      <w:r w:rsidRPr="00F709C4">
        <w:rPr>
          <w:rFonts w:ascii="Arial" w:eastAsia="Arial" w:hAnsi="Arial" w:cs="Arial"/>
          <w:i/>
          <w:color w:val="000000"/>
        </w:rPr>
        <w:t>minimis</w:t>
      </w:r>
      <w:proofErr w:type="spellEnd"/>
      <w:r w:rsidRPr="00F709C4">
        <w:rPr>
          <w:rFonts w:ascii="Arial" w:eastAsia="Arial" w:hAnsi="Arial" w:cs="Arial"/>
          <w:i/>
          <w:color w:val="000000"/>
        </w:rPr>
        <w:t xml:space="preserve"> </w:t>
      </w:r>
      <w:r w:rsidRPr="00F709C4">
        <w:rPr>
          <w:rFonts w:ascii="Arial" w:eastAsia="Arial" w:hAnsi="Arial" w:cs="Arial"/>
          <w:color w:val="000000"/>
        </w:rPr>
        <w:t>potpore .) i Uredbe Komisije (EU) br. 2020/972 od 2. srpnja 2020. o izmjeni Uredbe (EU) br. 1407/2013 u pogledu njezina produljenja i o izmjeni Uredbe (EU) br. 651/2014 u pogledu njezina produljenja i odgovarajućih prilagodbi (SL L 215/3, 7.7.2020.) (dalje: Uredba Komisije 1407/2013).</w:t>
      </w:r>
    </w:p>
    <w:p w14:paraId="310B7E39" w14:textId="77777777" w:rsidR="00F709C4" w:rsidRPr="00F709C4" w:rsidRDefault="00F709C4" w:rsidP="00F709C4">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Turistički ured TZGZ-a upravlja sredstvima koji se na temelju ovog Programa dodjeljuju kao potpore. Iznos sredstava iz ovog stavka se utvrđuje u skladu s Programom rada i financijskim planom za 202</w:t>
      </w:r>
      <w:r w:rsidRPr="00F709C4">
        <w:rPr>
          <w:rFonts w:ascii="Arial" w:eastAsia="Arial" w:hAnsi="Arial" w:cs="Arial"/>
        </w:rPr>
        <w:t>4</w:t>
      </w:r>
      <w:r w:rsidRPr="00F709C4">
        <w:rPr>
          <w:rFonts w:ascii="Arial" w:eastAsia="Arial" w:hAnsi="Arial" w:cs="Arial"/>
          <w:color w:val="000000"/>
        </w:rPr>
        <w:t xml:space="preserve">. godinu koji će biti odobren od strane Skupštine TZGZ-a, a koji iznosi se odnose na razvoj proizvoda. </w:t>
      </w:r>
    </w:p>
    <w:p w14:paraId="20F61558" w14:textId="77777777" w:rsidR="00F709C4" w:rsidRDefault="00F709C4" w:rsidP="00F709C4">
      <w:pPr>
        <w:numPr>
          <w:ilvl w:val="0"/>
          <w:numId w:val="1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D</w:t>
      </w:r>
      <w:r>
        <w:rPr>
          <w:rFonts w:ascii="Arial" w:eastAsia="Arial" w:hAnsi="Arial" w:cs="Arial"/>
          <w:i/>
          <w:color w:val="000000"/>
        </w:rPr>
        <w:t xml:space="preserve">e </w:t>
      </w:r>
      <w:proofErr w:type="spellStart"/>
      <w:r>
        <w:rPr>
          <w:rFonts w:ascii="Arial" w:eastAsia="Arial" w:hAnsi="Arial" w:cs="Arial"/>
          <w:i/>
          <w:color w:val="000000"/>
        </w:rPr>
        <w:t>minimis</w:t>
      </w:r>
      <w:proofErr w:type="spellEnd"/>
      <w:r>
        <w:rPr>
          <w:rFonts w:ascii="Arial" w:eastAsia="Arial" w:hAnsi="Arial" w:cs="Arial"/>
          <w:color w:val="000000"/>
        </w:rPr>
        <w:t xml:space="preserve"> potpore dodijeljene prema ovom Programu smatraju se transparentnim u smislu članka 4. Uredbe Komisije 1407/2013.</w:t>
      </w:r>
    </w:p>
    <w:p w14:paraId="1B9D9322"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072241BE"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b/>
        </w:rPr>
        <w:t>Definicije</w:t>
      </w:r>
    </w:p>
    <w:p w14:paraId="4840C6F4"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2.</w:t>
      </w:r>
    </w:p>
    <w:p w14:paraId="781D4991"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Pojmovi u smislu ovog Programa imaju sljedeće značenje:</w:t>
      </w:r>
    </w:p>
    <w:p w14:paraId="169C3218" w14:textId="77777777" w:rsidR="00F709C4" w:rsidRDefault="00F709C4" w:rsidP="00F709C4">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Program potpora je svaki akt na temelju kojeg se mogu, bez potrebe za daljnjim provedbenim mjerama, dodjeljivati pojedinačne potpore poduzetnicima koji su utvrđeni u aktu na općenit i apstraktan način te svaki akt na temelju kojeg se potpora koja nije povezana s određenim projektom može dodijeliti jednom poduzetniku ili više njih na neodređeno razdoblje i/ili u neodređenom iznosu,</w:t>
      </w:r>
    </w:p>
    <w:p w14:paraId="013A8449" w14:textId="77777777" w:rsidR="00F709C4" w:rsidRDefault="00F709C4" w:rsidP="00F709C4">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potpore je pravna osoba koja obavlja gospodarsku djelatnost i koristi svoje opsežno poznavanje lokalnog turističkog proizvoda, posjeduje resurse i sposobnost za provođenje projekata, posjeduje stručno osoblje i ima dostupne druge potrebne resurse za osmišljavanje i realizaciju projekata, manifestacija i ostalih promotivnih aktivnosti,</w:t>
      </w:r>
    </w:p>
    <w:p w14:paraId="3CF19586" w14:textId="77777777" w:rsidR="00F709C4" w:rsidRDefault="00F709C4" w:rsidP="00F709C4">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Poduzetnik za potrebe ovog Programa je pravna osoba koja obavlja gospodarsku djelatnost, </w:t>
      </w:r>
    </w:p>
    <w:p w14:paraId="1B020794" w14:textId="77777777" w:rsidR="00F709C4" w:rsidRDefault="00F709C4" w:rsidP="00F709C4">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Gospodarska djelatnost je djelatnost koja se sastoji od pružanja robe i usluga na tržištu,</w:t>
      </w:r>
    </w:p>
    <w:p w14:paraId="37E98C29" w14:textId="77777777" w:rsidR="00F709C4" w:rsidRDefault="00F709C4" w:rsidP="00F709C4">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Razvoj turističkog proizvoda grada Zagreba je poticanje razvoja postojećih i kreiranje novih projekata kojima se povećava broj dolazaka i noćenja u destinaciji, obogaćuje turistička ponuda destinacije te promovira turistički proizvod Zagreba. Na ovaj način želi se razviti turistički proizvod grada Zagreba – kako onaj koji generira dolaske, tako i onaj koji stvara </w:t>
      </w:r>
      <w:r>
        <w:rPr>
          <w:rFonts w:ascii="Arial" w:eastAsia="Arial" w:hAnsi="Arial" w:cs="Arial"/>
          <w:color w:val="000000"/>
        </w:rPr>
        <w:lastRenderedPageBreak/>
        <w:t>ugođaj prilikom boravka u destinaciji. Ujedno, cilj sufinanciranja su i projekti u cilju promocije grada Zagreba te projekti koji se odnose na kongresnu industriju</w:t>
      </w:r>
    </w:p>
    <w:p w14:paraId="15B2E11B" w14:textId="77777777" w:rsidR="00F709C4" w:rsidRPr="00F709C4" w:rsidRDefault="00F709C4" w:rsidP="00F709C4">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Kriteriji za davanje potpore su kriteriji kojima TZGZ vrednuje odobravanje potpore za manifestacije, marketinške projekte, skupove i kongresne aktivnosti </w:t>
      </w:r>
      <w:r w:rsidRPr="00F709C4">
        <w:rPr>
          <w:rFonts w:ascii="Arial" w:eastAsia="Arial" w:hAnsi="Arial" w:cs="Arial"/>
          <w:color w:val="000000"/>
        </w:rPr>
        <w:t>u 202</w:t>
      </w:r>
      <w:r w:rsidRPr="00F709C4">
        <w:rPr>
          <w:rFonts w:ascii="Arial" w:eastAsia="Arial" w:hAnsi="Arial" w:cs="Arial"/>
        </w:rPr>
        <w:t>4.</w:t>
      </w:r>
      <w:r w:rsidRPr="00F709C4">
        <w:rPr>
          <w:rFonts w:ascii="Arial" w:eastAsia="Arial" w:hAnsi="Arial" w:cs="Arial"/>
          <w:color w:val="000000"/>
        </w:rPr>
        <w:t xml:space="preserve"> godini, a koji su dio javnog poziva,</w:t>
      </w:r>
    </w:p>
    <w:p w14:paraId="0A7284FB" w14:textId="77777777" w:rsidR="00F709C4" w:rsidRPr="00F709C4" w:rsidRDefault="00F709C4" w:rsidP="00F709C4">
      <w:pPr>
        <w:numPr>
          <w:ilvl w:val="0"/>
          <w:numId w:val="13"/>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rPr>
        <w:t xml:space="preserve"> </w:t>
      </w:r>
      <w:r w:rsidRPr="00F709C4">
        <w:rPr>
          <w:rFonts w:ascii="Arial" w:eastAsia="Arial" w:hAnsi="Arial" w:cs="Arial"/>
          <w:color w:val="000000"/>
        </w:rPr>
        <w:t xml:space="preserve">Dan dodjele </w:t>
      </w:r>
      <w:r w:rsidRPr="00F709C4">
        <w:rPr>
          <w:rFonts w:ascii="Arial" w:eastAsia="Arial" w:hAnsi="Arial" w:cs="Arial"/>
          <w:i/>
          <w:color w:val="000000"/>
        </w:rPr>
        <w:t xml:space="preserve">de </w:t>
      </w:r>
      <w:proofErr w:type="spellStart"/>
      <w:r w:rsidRPr="00F709C4">
        <w:rPr>
          <w:rFonts w:ascii="Arial" w:eastAsia="Arial" w:hAnsi="Arial" w:cs="Arial"/>
          <w:i/>
          <w:color w:val="000000"/>
        </w:rPr>
        <w:t>minimis</w:t>
      </w:r>
      <w:proofErr w:type="spellEnd"/>
      <w:r w:rsidRPr="00F709C4">
        <w:rPr>
          <w:rFonts w:ascii="Arial" w:eastAsia="Arial" w:hAnsi="Arial" w:cs="Arial"/>
          <w:color w:val="000000"/>
        </w:rPr>
        <w:t xml:space="preserve"> potpore je dan sklapanja ugovora o financiranju. </w:t>
      </w:r>
    </w:p>
    <w:p w14:paraId="66643F30" w14:textId="77777777" w:rsidR="00F709C4" w:rsidRP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2ED90282" w14:textId="77777777" w:rsidR="00F709C4" w:rsidRPr="00F709C4" w:rsidRDefault="00F709C4" w:rsidP="00F709C4">
      <w:pPr>
        <w:spacing w:after="0" w:line="240" w:lineRule="auto"/>
        <w:ind w:left="0" w:hanging="2"/>
        <w:rPr>
          <w:rFonts w:ascii="Arial" w:eastAsia="Arial" w:hAnsi="Arial" w:cs="Arial"/>
        </w:rPr>
      </w:pPr>
      <w:r w:rsidRPr="00F709C4">
        <w:rPr>
          <w:rFonts w:ascii="Arial" w:eastAsia="Arial" w:hAnsi="Arial" w:cs="Arial"/>
          <w:b/>
        </w:rPr>
        <w:t>Definicija „jednog poduzetnika“</w:t>
      </w:r>
    </w:p>
    <w:p w14:paraId="5642088C" w14:textId="77777777" w:rsidR="00F709C4" w:rsidRPr="00F709C4" w:rsidRDefault="00F709C4" w:rsidP="00F709C4">
      <w:pPr>
        <w:spacing w:after="0" w:line="240" w:lineRule="auto"/>
        <w:ind w:left="0" w:hanging="2"/>
        <w:jc w:val="center"/>
        <w:rPr>
          <w:rFonts w:ascii="Arial" w:eastAsia="Arial" w:hAnsi="Arial" w:cs="Arial"/>
        </w:rPr>
      </w:pPr>
      <w:r w:rsidRPr="00F709C4">
        <w:rPr>
          <w:rFonts w:ascii="Arial" w:eastAsia="Arial" w:hAnsi="Arial" w:cs="Arial"/>
        </w:rPr>
        <w:t>Članak 3.</w:t>
      </w:r>
    </w:p>
    <w:p w14:paraId="3E4EBC19" w14:textId="77777777" w:rsidR="00F709C4" w:rsidRPr="00F709C4" w:rsidRDefault="00F709C4" w:rsidP="00F709C4">
      <w:pPr>
        <w:numPr>
          <w:ilvl w:val="0"/>
          <w:numId w:val="16"/>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Potpore sukladno ovom Programu, TZGZ će dodjeljivati poštujući pravilo iz Uredbe Komisije 1407/2013 da se svi subjekti koje kontrolira jedan poduzetnik na pravnoj ili </w:t>
      </w:r>
      <w:r w:rsidRPr="00F709C4">
        <w:rPr>
          <w:rFonts w:ascii="Arial" w:eastAsia="Arial" w:hAnsi="Arial" w:cs="Arial"/>
          <w:i/>
          <w:color w:val="000000"/>
        </w:rPr>
        <w:t>de facto</w:t>
      </w:r>
      <w:r w:rsidRPr="00F709C4">
        <w:rPr>
          <w:rFonts w:ascii="Arial" w:eastAsia="Arial" w:hAnsi="Arial" w:cs="Arial"/>
          <w:color w:val="000000"/>
        </w:rPr>
        <w:t xml:space="preserve"> osnovi smatraju jednim poduzetnikom. </w:t>
      </w:r>
    </w:p>
    <w:p w14:paraId="6D92F1BB" w14:textId="77777777" w:rsidR="00F709C4" w:rsidRPr="00F709C4" w:rsidRDefault="00F709C4" w:rsidP="00F709C4">
      <w:pPr>
        <w:numPr>
          <w:ilvl w:val="0"/>
          <w:numId w:val="16"/>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Pojam „jedan poduzetnik” iz stavka 1. ovog članka obuhvaća sva povezana društva ili grupu koja zadovoljava jedan od sljedećih međusobnih odnosa:</w:t>
      </w:r>
    </w:p>
    <w:p w14:paraId="39508D4B" w14:textId="77777777" w:rsidR="00F709C4" w:rsidRPr="00F709C4" w:rsidRDefault="00F709C4" w:rsidP="00F709C4">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jedno društvo ima većinu glasačkih prava u drugom društvu na temelju dionica ili uloga u temeljnom kapitalu,</w:t>
      </w:r>
    </w:p>
    <w:p w14:paraId="6249418C" w14:textId="77777777" w:rsidR="00F709C4" w:rsidRPr="00F709C4" w:rsidRDefault="00F709C4" w:rsidP="00F709C4">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jedno društvo ima pravo imenovati ili smijeniti člana ili više članova uprave i nadzornog odbora drugog društva,</w:t>
      </w:r>
    </w:p>
    <w:p w14:paraId="2F6486C1" w14:textId="77777777" w:rsidR="00F709C4" w:rsidRPr="00F709C4" w:rsidRDefault="00F709C4" w:rsidP="00F709C4">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jedno društvo ima pravo ostvarivati vladajući utjecaj na drugo društvo temeljem sklopljenog ugovora ili prema odredbama statuta ili osnivačkog ugovora, </w:t>
      </w:r>
    </w:p>
    <w:p w14:paraId="3E926D5C" w14:textId="77777777" w:rsidR="00F709C4" w:rsidRPr="00F709C4" w:rsidRDefault="00F709C4" w:rsidP="00F709C4">
      <w:pPr>
        <w:numPr>
          <w:ilvl w:val="0"/>
          <w:numId w:val="17"/>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jedno društvo koje je dioničar ili član u drugom društvu kontrolira samo sukladno dogovoru s drugim dioničarima ili članovima tog društva, većinu glasačkih prava dioničara ili članova tog društva.</w:t>
      </w:r>
    </w:p>
    <w:p w14:paraId="127A34B2" w14:textId="77777777" w:rsidR="00F709C4" w:rsidRPr="00F709C4" w:rsidRDefault="00F709C4" w:rsidP="00F709C4">
      <w:pPr>
        <w:spacing w:after="0" w:line="240" w:lineRule="auto"/>
        <w:ind w:left="0" w:hanging="2"/>
        <w:jc w:val="both"/>
        <w:rPr>
          <w:rFonts w:ascii="Arial" w:eastAsia="Arial" w:hAnsi="Arial" w:cs="Arial"/>
        </w:rPr>
      </w:pPr>
    </w:p>
    <w:p w14:paraId="75445512" w14:textId="77777777" w:rsidR="00F709C4" w:rsidRPr="00F709C4" w:rsidRDefault="00F709C4" w:rsidP="00F709C4">
      <w:pPr>
        <w:spacing w:after="0" w:line="240" w:lineRule="auto"/>
        <w:ind w:left="0" w:hanging="2"/>
        <w:jc w:val="both"/>
        <w:rPr>
          <w:rFonts w:ascii="Arial" w:eastAsia="Arial" w:hAnsi="Arial" w:cs="Arial"/>
        </w:rPr>
      </w:pPr>
      <w:r w:rsidRPr="00F709C4">
        <w:rPr>
          <w:rFonts w:ascii="Arial" w:eastAsia="Arial" w:hAnsi="Arial" w:cs="Arial"/>
          <w:b/>
        </w:rPr>
        <w:t>Namjena</w:t>
      </w:r>
    </w:p>
    <w:p w14:paraId="59808D85" w14:textId="77777777" w:rsidR="00F709C4" w:rsidRPr="00F709C4" w:rsidRDefault="00F709C4" w:rsidP="00F709C4">
      <w:pPr>
        <w:spacing w:after="0" w:line="240" w:lineRule="auto"/>
        <w:ind w:left="0" w:hanging="2"/>
        <w:jc w:val="center"/>
        <w:rPr>
          <w:rFonts w:ascii="Arial" w:eastAsia="Arial" w:hAnsi="Arial" w:cs="Arial"/>
        </w:rPr>
      </w:pPr>
      <w:r w:rsidRPr="00F709C4">
        <w:rPr>
          <w:rFonts w:ascii="Arial" w:eastAsia="Arial" w:hAnsi="Arial" w:cs="Arial"/>
        </w:rPr>
        <w:t>Članak 4.</w:t>
      </w:r>
    </w:p>
    <w:p w14:paraId="33C21C6E" w14:textId="77777777" w:rsidR="00F709C4" w:rsidRPr="00F709C4" w:rsidRDefault="00F709C4" w:rsidP="00F709C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Na temelju ovog Programa, TZGZ će raspisati Javni poziv za dostavu projektnih prijedloga tj. Upute za prijavitelje (u nastavku: Javni poziv), manifestacija, marketinških projekata, skupova i kandidatura koji će financirati/sufinancirati TZGZ u 202</w:t>
      </w:r>
      <w:r w:rsidRPr="00F709C4">
        <w:rPr>
          <w:rFonts w:ascii="Arial" w:eastAsia="Arial" w:hAnsi="Arial" w:cs="Arial"/>
        </w:rPr>
        <w:t>4</w:t>
      </w:r>
      <w:r w:rsidRPr="00F709C4">
        <w:rPr>
          <w:rFonts w:ascii="Arial" w:eastAsia="Arial" w:hAnsi="Arial" w:cs="Arial"/>
          <w:color w:val="000000"/>
        </w:rPr>
        <w:t>. godini.</w:t>
      </w:r>
    </w:p>
    <w:p w14:paraId="38C97E21" w14:textId="77777777" w:rsidR="00F709C4" w:rsidRPr="00F709C4" w:rsidRDefault="00F709C4" w:rsidP="00F709C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Detaljni uvjeti i kriteriji za dodjelu potpora za aktivnosti iz prethodnog stavka nalaze se u prilogu ovog Programa te čine dio Programa (Prilog I). </w:t>
      </w:r>
    </w:p>
    <w:p w14:paraId="24F88D7C" w14:textId="77777777" w:rsidR="00F709C4" w:rsidRPr="00F709C4" w:rsidRDefault="00F709C4" w:rsidP="00F709C4">
      <w:pPr>
        <w:numPr>
          <w:ilvl w:val="0"/>
          <w:numId w:val="2"/>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TZGZ je ovlašten uvjete i kriterije iz ovog Programa detaljnije utvrditi u Javnom pozivu iz stavka 1. ovog članka. </w:t>
      </w:r>
    </w:p>
    <w:p w14:paraId="6E588B30" w14:textId="77777777" w:rsidR="00F709C4" w:rsidRP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55E092AB" w14:textId="77777777" w:rsidR="00F709C4" w:rsidRPr="00F709C4" w:rsidRDefault="00F709C4" w:rsidP="00F709C4">
      <w:pPr>
        <w:spacing w:after="0" w:line="240" w:lineRule="auto"/>
        <w:ind w:left="0" w:hanging="2"/>
        <w:jc w:val="both"/>
        <w:rPr>
          <w:rFonts w:ascii="Arial" w:eastAsia="Arial" w:hAnsi="Arial" w:cs="Arial"/>
        </w:rPr>
      </w:pPr>
      <w:r w:rsidRPr="00F709C4">
        <w:rPr>
          <w:rFonts w:ascii="Arial" w:eastAsia="Arial" w:hAnsi="Arial" w:cs="Arial"/>
          <w:b/>
        </w:rPr>
        <w:t>Sredstva koja ne predstavljaju potporu u smislu ovog Programa</w:t>
      </w:r>
    </w:p>
    <w:p w14:paraId="2367890F" w14:textId="77777777" w:rsidR="00F709C4" w:rsidRPr="00F709C4" w:rsidRDefault="00F709C4" w:rsidP="00F709C4">
      <w:pPr>
        <w:spacing w:after="0" w:line="240" w:lineRule="auto"/>
        <w:ind w:left="0" w:hanging="2"/>
        <w:jc w:val="center"/>
        <w:rPr>
          <w:rFonts w:ascii="Arial" w:eastAsia="Arial" w:hAnsi="Arial" w:cs="Arial"/>
        </w:rPr>
      </w:pPr>
      <w:r w:rsidRPr="00F709C4">
        <w:rPr>
          <w:rFonts w:ascii="Arial" w:eastAsia="Arial" w:hAnsi="Arial" w:cs="Arial"/>
        </w:rPr>
        <w:t>Članak 5.</w:t>
      </w:r>
    </w:p>
    <w:p w14:paraId="5601BD3E" w14:textId="77777777" w:rsidR="00F709C4" w:rsidRPr="00F709C4" w:rsidRDefault="00F709C4" w:rsidP="00F709C4">
      <w:pPr>
        <w:spacing w:after="0" w:line="240" w:lineRule="auto"/>
        <w:ind w:left="0" w:hanging="2"/>
        <w:jc w:val="both"/>
        <w:rPr>
          <w:rFonts w:ascii="Arial" w:eastAsia="Arial" w:hAnsi="Arial" w:cs="Arial"/>
        </w:rPr>
      </w:pPr>
      <w:r w:rsidRPr="00F709C4">
        <w:rPr>
          <w:rFonts w:ascii="Arial" w:eastAsia="Arial" w:hAnsi="Arial" w:cs="Arial"/>
        </w:rPr>
        <w:t xml:space="preserve">Program se ne odnosi na financijska sredstva kojima TZGZ promiče razvoj turističke destinacije Zagreb, na sufinanciranju aktivnosti povezanih s kulturom i očuvanjem baštine Grada Zagreba koje se organiziraju na nekomercijalan način i koje su dostupne posjetiteljima i građanima bez naknade ili uz naknadu koja pokriva samo dio stvarnih troškova te ostalih aktivnosti i manifestacija koje su ograničene na područje Grada Zagreba i prema svom sadržaju i načinu na koji se provode namijenjene obogaćivanju turističkog proizvoda, a ne demotiviranju korisnika ili posjetitelja iz inozemstva od sličnih ponuda u drugim državama članicama EU. </w:t>
      </w:r>
    </w:p>
    <w:p w14:paraId="1BC5E797" w14:textId="77777777" w:rsidR="00F709C4" w:rsidRPr="00F709C4" w:rsidRDefault="00F709C4" w:rsidP="00F709C4">
      <w:pPr>
        <w:spacing w:after="0" w:line="240" w:lineRule="auto"/>
        <w:ind w:left="0" w:hanging="2"/>
        <w:jc w:val="both"/>
        <w:rPr>
          <w:rFonts w:ascii="Arial" w:eastAsia="Arial" w:hAnsi="Arial" w:cs="Arial"/>
        </w:rPr>
      </w:pPr>
    </w:p>
    <w:p w14:paraId="12524D32" w14:textId="77777777" w:rsidR="00F709C4" w:rsidRPr="00F709C4" w:rsidRDefault="00F709C4" w:rsidP="00F709C4">
      <w:pPr>
        <w:spacing w:after="0" w:line="240" w:lineRule="auto"/>
        <w:ind w:left="0" w:hanging="2"/>
        <w:jc w:val="both"/>
        <w:rPr>
          <w:rFonts w:ascii="Arial" w:eastAsia="Arial" w:hAnsi="Arial" w:cs="Arial"/>
        </w:rPr>
      </w:pPr>
    </w:p>
    <w:p w14:paraId="7A68399F" w14:textId="77777777" w:rsidR="00F709C4" w:rsidRPr="00F709C4" w:rsidRDefault="00F709C4" w:rsidP="00F709C4">
      <w:pPr>
        <w:spacing w:after="0" w:line="240" w:lineRule="auto"/>
        <w:ind w:left="0" w:hanging="2"/>
        <w:rPr>
          <w:rFonts w:ascii="Arial" w:eastAsia="Arial" w:hAnsi="Arial" w:cs="Arial"/>
        </w:rPr>
      </w:pPr>
      <w:r w:rsidRPr="00F709C4">
        <w:rPr>
          <w:rFonts w:ascii="Arial" w:eastAsia="Arial" w:hAnsi="Arial" w:cs="Arial"/>
          <w:b/>
        </w:rPr>
        <w:t>Zabrana dodjele potpore</w:t>
      </w:r>
    </w:p>
    <w:p w14:paraId="0B778D63" w14:textId="77777777" w:rsidR="00F709C4" w:rsidRPr="00F709C4" w:rsidRDefault="00F709C4" w:rsidP="00F709C4">
      <w:pPr>
        <w:spacing w:after="0" w:line="240" w:lineRule="auto"/>
        <w:ind w:left="0" w:hanging="2"/>
        <w:jc w:val="center"/>
        <w:rPr>
          <w:rFonts w:ascii="Arial" w:eastAsia="Arial" w:hAnsi="Arial" w:cs="Arial"/>
        </w:rPr>
      </w:pPr>
      <w:r w:rsidRPr="00F709C4">
        <w:rPr>
          <w:rFonts w:ascii="Arial" w:eastAsia="Arial" w:hAnsi="Arial" w:cs="Arial"/>
        </w:rPr>
        <w:t>Članak 6.</w:t>
      </w:r>
    </w:p>
    <w:p w14:paraId="0477D5ED" w14:textId="77777777" w:rsidR="00F709C4" w:rsidRPr="00F709C4" w:rsidRDefault="00F709C4" w:rsidP="00F709C4">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Na temelju ovog Programa ne mogu se dodijeliti:</w:t>
      </w:r>
    </w:p>
    <w:p w14:paraId="0456991A" w14:textId="77777777" w:rsidR="00F709C4" w:rsidRPr="00F709C4" w:rsidRDefault="00F709C4" w:rsidP="00F709C4">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potpore poduzetnicima koji djeluju u sektoru ribarstva i akvakulture,</w:t>
      </w:r>
    </w:p>
    <w:p w14:paraId="093C302C" w14:textId="77777777" w:rsidR="00F709C4" w:rsidRPr="00F709C4" w:rsidRDefault="00F709C4" w:rsidP="00F709C4">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potpore poduzetnicima koji djeluju u primarnoj proizvodnji poljoprivrednih proizvoda, te u sektoru prerade i stavljanja na tržište poljoprivrednih proizvoda i to u slučajevima kada je iznos potpore fiksno utvrđen na temelju cijene ili količine takvih proizvoda kupljenih od </w:t>
      </w:r>
      <w:r w:rsidRPr="00F709C4">
        <w:rPr>
          <w:rFonts w:ascii="Arial" w:eastAsia="Arial" w:hAnsi="Arial" w:cs="Arial"/>
          <w:color w:val="000000"/>
        </w:rPr>
        <w:lastRenderedPageBreak/>
        <w:t>primarnih proizvođača te stavljenih na tržište od strane predmetnog poduzetnika i potpore koje su uvjetovane njihovim djelomičnim ili potpunim prenošenjem na primarne proizvođače,</w:t>
      </w:r>
    </w:p>
    <w:p w14:paraId="6510C486" w14:textId="77777777" w:rsidR="00F709C4" w:rsidRPr="00F709C4" w:rsidRDefault="00F709C4" w:rsidP="00F709C4">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potpore za djelatnosti usmjerene izvozu u treće zemlje ili države članice ako se takve potpore mogu izravno povezati s brojem dovedenih turista, brojem osiguranih mjesta u zrakoplovima i autobusima, brojem noćenja i slično, uspostavom i funkcioniranjem distribucijske mreže ili s drugim tekućim troškovima vezanim za dovođenje turista,</w:t>
      </w:r>
    </w:p>
    <w:p w14:paraId="4F503FE4" w14:textId="77777777" w:rsidR="00F709C4" w:rsidRPr="00F709C4" w:rsidRDefault="00F709C4" w:rsidP="00F709C4">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potpore koje se uvjetuju uporabom domaćih proizvoda umjesto uvezenih,</w:t>
      </w:r>
    </w:p>
    <w:p w14:paraId="54AFE74B" w14:textId="77777777" w:rsidR="00F709C4" w:rsidRPr="00F709C4" w:rsidRDefault="00F709C4" w:rsidP="00F709C4">
      <w:pPr>
        <w:numPr>
          <w:ilvl w:val="0"/>
          <w:numId w:val="14"/>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za nabavu vozila za cestovni prijevoz tereta poduzetnicima koji se bave cestovnim prijevozom tereta za najamninu i naknadu,</w:t>
      </w:r>
    </w:p>
    <w:p w14:paraId="7B48FD70" w14:textId="77777777" w:rsidR="00F709C4" w:rsidRPr="00F709C4" w:rsidRDefault="00F709C4" w:rsidP="00F709C4">
      <w:pPr>
        <w:numPr>
          <w:ilvl w:val="0"/>
          <w:numId w:val="14"/>
        </w:numPr>
        <w:spacing w:after="0" w:line="240" w:lineRule="auto"/>
        <w:ind w:left="0" w:hanging="2"/>
        <w:jc w:val="both"/>
        <w:rPr>
          <w:rFonts w:ascii="Arial" w:eastAsia="Arial" w:hAnsi="Arial" w:cs="Arial"/>
        </w:rPr>
      </w:pPr>
      <w:r w:rsidRPr="00F709C4">
        <w:rPr>
          <w:rFonts w:ascii="Arial" w:eastAsia="Arial" w:hAnsi="Arial" w:cs="Arial"/>
        </w:rPr>
        <w:t>potpore poduzetnicima u teškoćama.</w:t>
      </w:r>
    </w:p>
    <w:p w14:paraId="3A2F9FAF" w14:textId="77777777" w:rsidR="00F709C4" w:rsidRPr="00F709C4" w:rsidRDefault="00F709C4" w:rsidP="00F709C4">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Ako poduzetnik djeluje u sektorima navedenima u stavku 1. točkama a) i b) i djeluje u jednom ili više sektora ili ima druge djelatnosti koje su obuhvaćene područjem primjene ovog Programa, ovaj se Program primjenjuje na potpore dodijeljene u vezi s tim drugim sektorima ili djelatnostima, uz uvjet da poduzetnik osigura, na primjeren način, razdvajanje djelatnosti ili troškova (vođenje odvojenog knjigovodstva), da djelatnosti u sektorima koji su isključeni iz područja primjene ovog Programa ne ostvaruju korist od </w:t>
      </w:r>
      <w:r w:rsidRPr="00F709C4">
        <w:rPr>
          <w:rFonts w:ascii="Arial" w:eastAsia="Arial" w:hAnsi="Arial" w:cs="Arial"/>
          <w:i/>
          <w:color w:val="000000"/>
        </w:rPr>
        <w:t xml:space="preserve">de </w:t>
      </w:r>
      <w:proofErr w:type="spellStart"/>
      <w:r w:rsidRPr="00F709C4">
        <w:rPr>
          <w:rFonts w:ascii="Arial" w:eastAsia="Arial" w:hAnsi="Arial" w:cs="Arial"/>
          <w:i/>
          <w:color w:val="000000"/>
        </w:rPr>
        <w:t>minimis</w:t>
      </w:r>
      <w:proofErr w:type="spellEnd"/>
      <w:r w:rsidRPr="00F709C4">
        <w:rPr>
          <w:rFonts w:ascii="Arial" w:eastAsia="Arial" w:hAnsi="Arial" w:cs="Arial"/>
          <w:color w:val="000000"/>
        </w:rPr>
        <w:t> potpore dodijeljene na temelju ovog Programa.</w:t>
      </w:r>
    </w:p>
    <w:p w14:paraId="500DC8ED" w14:textId="77777777" w:rsidR="00F709C4" w:rsidRPr="00F709C4" w:rsidRDefault="00F709C4" w:rsidP="00F709C4">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Poduzetnikom u teškoćama iz stavka 1. </w:t>
      </w:r>
      <w:proofErr w:type="spellStart"/>
      <w:r w:rsidRPr="00F709C4">
        <w:rPr>
          <w:rFonts w:ascii="Arial" w:eastAsia="Arial" w:hAnsi="Arial" w:cs="Arial"/>
          <w:color w:val="000000"/>
        </w:rPr>
        <w:t>toč</w:t>
      </w:r>
      <w:proofErr w:type="spellEnd"/>
      <w:r w:rsidRPr="00F709C4">
        <w:rPr>
          <w:rFonts w:ascii="Arial" w:eastAsia="Arial" w:hAnsi="Arial" w:cs="Arial"/>
          <w:color w:val="000000"/>
        </w:rPr>
        <w:t xml:space="preserve">. f) smatra se poduzetnik koji ispunjava uvjete sukladno Smjernicama o državnim potporama za sanaciju i restrukturiranje nefinancijskih poduzetnika u teškoćama (SL EU, C 249/1, 31.7.2014.) </w:t>
      </w:r>
    </w:p>
    <w:p w14:paraId="3BE20975" w14:textId="77777777" w:rsidR="00F709C4" w:rsidRPr="00F709C4" w:rsidRDefault="00F709C4" w:rsidP="00F709C4">
      <w:pPr>
        <w:numPr>
          <w:ilvl w:val="0"/>
          <w:numId w:val="8"/>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Osim navedenog, TZGZ može odlučiti da se potpora dodjeljuje samo određenim poduzetnicima s obzirom na njihovu veličinu i samo za određenu namjenu, u skladu s kriterijima predviđenim u članku 4. ovog Programa.</w:t>
      </w:r>
    </w:p>
    <w:p w14:paraId="6991B3C7" w14:textId="77777777" w:rsidR="00F709C4" w:rsidRPr="00F709C4" w:rsidRDefault="00F709C4" w:rsidP="00F709C4">
      <w:pPr>
        <w:spacing w:after="0" w:line="240" w:lineRule="auto"/>
        <w:ind w:left="0" w:hanging="2"/>
        <w:rPr>
          <w:rFonts w:ascii="Arial" w:eastAsia="Arial" w:hAnsi="Arial" w:cs="Arial"/>
        </w:rPr>
      </w:pPr>
    </w:p>
    <w:p w14:paraId="15AAD72D" w14:textId="77777777" w:rsidR="00F709C4" w:rsidRPr="00F709C4" w:rsidRDefault="00F709C4" w:rsidP="00F709C4">
      <w:pPr>
        <w:spacing w:after="0" w:line="240" w:lineRule="auto"/>
        <w:ind w:left="0" w:hanging="2"/>
        <w:rPr>
          <w:rFonts w:ascii="Arial" w:eastAsia="Arial" w:hAnsi="Arial" w:cs="Arial"/>
        </w:rPr>
      </w:pPr>
      <w:r w:rsidRPr="00F709C4">
        <w:rPr>
          <w:rFonts w:ascii="Arial" w:eastAsia="Arial" w:hAnsi="Arial" w:cs="Arial"/>
          <w:b/>
        </w:rPr>
        <w:t>Prihvatljivi troškovi</w:t>
      </w:r>
    </w:p>
    <w:p w14:paraId="560D92D1" w14:textId="77777777" w:rsidR="00F709C4" w:rsidRPr="00F709C4" w:rsidRDefault="00F709C4" w:rsidP="00F709C4">
      <w:pPr>
        <w:spacing w:after="0" w:line="240" w:lineRule="auto"/>
        <w:ind w:left="0" w:hanging="2"/>
        <w:jc w:val="center"/>
        <w:rPr>
          <w:rFonts w:ascii="Arial" w:eastAsia="Arial" w:hAnsi="Arial" w:cs="Arial"/>
        </w:rPr>
      </w:pPr>
      <w:r w:rsidRPr="00F709C4">
        <w:rPr>
          <w:rFonts w:ascii="Arial" w:eastAsia="Arial" w:hAnsi="Arial" w:cs="Arial"/>
        </w:rPr>
        <w:t>Članak 7.</w:t>
      </w:r>
    </w:p>
    <w:p w14:paraId="61C641FA" w14:textId="77777777" w:rsidR="00F709C4" w:rsidRPr="00F709C4" w:rsidRDefault="00F709C4" w:rsidP="00F709C4">
      <w:pPr>
        <w:numPr>
          <w:ilvl w:val="0"/>
          <w:numId w:val="9"/>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Prihvatljivim troškovima smatraju se ukupni troškovi predviđeni za svaku pojedinu aktivnost razvoja turističkog proizvoda grada Zagreba, ako ta aktivnost ispunjava sve uvjete i kriterije utvrđene u skladu s člankom 4. ovog Programa.</w:t>
      </w:r>
    </w:p>
    <w:p w14:paraId="0DDDFCCC" w14:textId="77777777" w:rsidR="00F709C4" w:rsidRPr="00F709C4" w:rsidRDefault="00F709C4" w:rsidP="00F709C4">
      <w:pPr>
        <w:numPr>
          <w:ilvl w:val="0"/>
          <w:numId w:val="9"/>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Iznos potpore po projektu/Korisniku koji će odobravati TZGZ kreće se u rasponu od 1% do 100% prihvatljivih troškova.</w:t>
      </w:r>
    </w:p>
    <w:p w14:paraId="1837E3F2" w14:textId="77777777" w:rsidR="00F709C4" w:rsidRP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3330797B" w14:textId="77777777" w:rsidR="00F709C4" w:rsidRPr="00F709C4" w:rsidRDefault="00F709C4" w:rsidP="00F709C4">
      <w:pPr>
        <w:spacing w:after="0" w:line="240" w:lineRule="auto"/>
        <w:ind w:left="0" w:hanging="2"/>
        <w:rPr>
          <w:rFonts w:ascii="Arial" w:eastAsia="Arial" w:hAnsi="Arial" w:cs="Arial"/>
        </w:rPr>
      </w:pPr>
      <w:r w:rsidRPr="00F709C4">
        <w:rPr>
          <w:rFonts w:ascii="Arial" w:eastAsia="Arial" w:hAnsi="Arial" w:cs="Arial"/>
          <w:b/>
        </w:rPr>
        <w:t>Visina potpore</w:t>
      </w:r>
    </w:p>
    <w:p w14:paraId="65B130DC" w14:textId="77777777" w:rsidR="00F709C4" w:rsidRPr="00F709C4" w:rsidRDefault="00F709C4" w:rsidP="00F709C4">
      <w:pPr>
        <w:spacing w:after="0" w:line="240" w:lineRule="auto"/>
        <w:ind w:left="0" w:hanging="2"/>
        <w:jc w:val="center"/>
        <w:rPr>
          <w:rFonts w:ascii="Arial" w:eastAsia="Arial" w:hAnsi="Arial" w:cs="Arial"/>
        </w:rPr>
      </w:pPr>
      <w:r w:rsidRPr="00F709C4">
        <w:rPr>
          <w:rFonts w:ascii="Arial" w:eastAsia="Arial" w:hAnsi="Arial" w:cs="Arial"/>
        </w:rPr>
        <w:t>Članak 8.</w:t>
      </w:r>
    </w:p>
    <w:p w14:paraId="59AC4535" w14:textId="3C3E964C" w:rsidR="00F709C4" w:rsidRDefault="00F709C4" w:rsidP="00F709C4">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Visina potpore koja se dodjeljuje na temelju ovog Programa jednom Prijavitelju/korisniku potpore može iznositi najviše 200.000 EUR (dvjesto tisuća</w:t>
      </w:r>
      <w:r>
        <w:rPr>
          <w:rFonts w:ascii="Arial" w:eastAsia="Arial" w:hAnsi="Arial" w:cs="Arial"/>
          <w:color w:val="000000"/>
        </w:rPr>
        <w:t xml:space="preserve"> eura), tijekom bilo kojeg razdoblja od 3 (tri) fiskalne godine.</w:t>
      </w:r>
    </w:p>
    <w:p w14:paraId="40E7E190" w14:textId="77777777" w:rsidR="00F709C4" w:rsidRDefault="00F709C4" w:rsidP="00F709C4">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Potpore koje se isplaćuju u više obroka diskontiraju se na vrijednost potpore u trenutku njezine dodjele. Kamatna stopa koja se primjenjuje pri diskontiranju je diskontna kamatna stopa koja se primjenjuje u trenutku dodjele.</w:t>
      </w:r>
    </w:p>
    <w:p w14:paraId="1AC52CF4" w14:textId="77777777" w:rsidR="00F709C4" w:rsidRDefault="00F709C4" w:rsidP="00F709C4">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Korisnik ne smije potporu koristiti za druge namjene, jer će u tom slučaju TZGZ naložiti povrat potpore.</w:t>
      </w:r>
    </w:p>
    <w:p w14:paraId="195A45BD" w14:textId="77777777" w:rsidR="00F709C4" w:rsidRDefault="00F709C4" w:rsidP="00F709C4">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Korisnik potpore dužan je TZGZ-u, kao davatelju potpore, dostaviti potpisanu i ovjerenu Izjavu o korištenju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i/>
          <w:color w:val="000000"/>
        </w:rPr>
        <w:t xml:space="preserve"> </w:t>
      </w:r>
      <w:r>
        <w:rPr>
          <w:rFonts w:ascii="Arial" w:eastAsia="Arial" w:hAnsi="Arial" w:cs="Arial"/>
          <w:color w:val="000000"/>
        </w:rPr>
        <w:t>potpora koje je poduzetnik koristio u tekućoj i prethodne 2 (dvije) fiskalne godine, a koje je dobio od svih davatelja državne potpore neovisno o razini (državna, EU fondovi, regionalna, lokalna) kako se ne bi premašile gornje granice iz stavka 1. ovog članka.</w:t>
      </w:r>
    </w:p>
    <w:p w14:paraId="373226DF" w14:textId="77777777" w:rsidR="00F709C4" w:rsidRDefault="00F709C4" w:rsidP="00F709C4">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Izjava iz prethodnog stavka ovog članka Programa se odnosi i na povezana društva koja se prema članku 3. stavku 2. ovog Programa smatraju jednim poduzetnikom. </w:t>
      </w:r>
    </w:p>
    <w:p w14:paraId="1A0A103B" w14:textId="77777777" w:rsidR="00F709C4" w:rsidRDefault="00F709C4" w:rsidP="00F709C4">
      <w:pPr>
        <w:numPr>
          <w:ilvl w:val="0"/>
          <w:numId w:val="3"/>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Izjava iz stavka 4. ovog članka je sastavni dio ovog Programa.</w:t>
      </w:r>
    </w:p>
    <w:p w14:paraId="0F1D6B66"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796B8A78" w14:textId="77777777" w:rsidR="00F709C4" w:rsidRDefault="00F709C4" w:rsidP="00F709C4">
      <w:pPr>
        <w:spacing w:after="0" w:line="240" w:lineRule="auto"/>
        <w:ind w:left="0" w:hanging="2"/>
        <w:rPr>
          <w:rFonts w:ascii="Arial" w:eastAsia="Arial" w:hAnsi="Arial" w:cs="Arial"/>
          <w:b/>
        </w:rPr>
      </w:pPr>
    </w:p>
    <w:p w14:paraId="3F534908" w14:textId="77777777" w:rsidR="00F709C4" w:rsidRDefault="00F709C4" w:rsidP="00F709C4">
      <w:pPr>
        <w:spacing w:after="0" w:line="240" w:lineRule="auto"/>
        <w:ind w:left="0" w:hanging="2"/>
        <w:rPr>
          <w:rFonts w:ascii="Arial" w:eastAsia="Arial" w:hAnsi="Arial" w:cs="Arial"/>
          <w:b/>
        </w:rPr>
      </w:pPr>
    </w:p>
    <w:p w14:paraId="309A4677" w14:textId="77777777" w:rsidR="00F709C4" w:rsidRDefault="00F709C4" w:rsidP="00F709C4">
      <w:pPr>
        <w:spacing w:after="0" w:line="240" w:lineRule="auto"/>
        <w:ind w:left="0" w:hanging="2"/>
        <w:rPr>
          <w:rFonts w:ascii="Arial" w:eastAsia="Arial" w:hAnsi="Arial" w:cs="Arial"/>
          <w:b/>
        </w:rPr>
      </w:pPr>
    </w:p>
    <w:p w14:paraId="76ADD1DD" w14:textId="79258CDF" w:rsidR="00F709C4" w:rsidRDefault="00F709C4" w:rsidP="00F709C4">
      <w:pPr>
        <w:spacing w:after="0" w:line="240" w:lineRule="auto"/>
        <w:ind w:left="0" w:hanging="2"/>
        <w:rPr>
          <w:rFonts w:ascii="Arial" w:eastAsia="Arial" w:hAnsi="Arial" w:cs="Arial"/>
        </w:rPr>
      </w:pPr>
      <w:r>
        <w:rPr>
          <w:rFonts w:ascii="Arial" w:eastAsia="Arial" w:hAnsi="Arial" w:cs="Arial"/>
          <w:b/>
        </w:rPr>
        <w:lastRenderedPageBreak/>
        <w:t>Instrument dodjele potpore</w:t>
      </w:r>
    </w:p>
    <w:p w14:paraId="0558F2C4"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9.</w:t>
      </w:r>
    </w:p>
    <w:p w14:paraId="4065F6D6"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 xml:space="preserve">Potpora se dodjeljuje Prijavitelju/korisniku potpore u obliku bespovratnih sredstava. </w:t>
      </w:r>
    </w:p>
    <w:p w14:paraId="22BB3AF9" w14:textId="77777777" w:rsidR="00F709C4" w:rsidRDefault="00F709C4" w:rsidP="00F709C4">
      <w:pPr>
        <w:spacing w:after="0" w:line="240" w:lineRule="auto"/>
        <w:ind w:left="0" w:hanging="2"/>
        <w:rPr>
          <w:rFonts w:ascii="Arial" w:eastAsia="Arial" w:hAnsi="Arial" w:cs="Arial"/>
          <w:b/>
        </w:rPr>
      </w:pPr>
    </w:p>
    <w:p w14:paraId="03D22406" w14:textId="77777777" w:rsidR="00F709C4" w:rsidRDefault="00F709C4" w:rsidP="00F709C4">
      <w:pPr>
        <w:spacing w:after="0" w:line="240" w:lineRule="auto"/>
        <w:ind w:left="0" w:hanging="2"/>
        <w:rPr>
          <w:rFonts w:ascii="Arial" w:eastAsia="Arial" w:hAnsi="Arial" w:cs="Arial"/>
        </w:rPr>
      </w:pPr>
      <w:r>
        <w:rPr>
          <w:rFonts w:ascii="Arial" w:eastAsia="Arial" w:hAnsi="Arial" w:cs="Arial"/>
          <w:b/>
        </w:rPr>
        <w:t>Zbrajanje potpora</w:t>
      </w:r>
    </w:p>
    <w:p w14:paraId="2FBCAB2F"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10.</w:t>
      </w:r>
    </w:p>
    <w:p w14:paraId="73FFFBF8" w14:textId="77777777" w:rsidR="00F709C4" w:rsidRDefault="00F709C4" w:rsidP="00F709C4">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koje se dodjeljuju u skladu s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Uredbom mogu se zbrajati s drugim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potporama, dodijeljenim u skladu s Uredbom Europske komisije (EU) br. 360/2012 o primjeni članaka 107. i 108. Ugovora o funkcioniranju Europske unije na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koje se dodjeljuju poduzetnicima koji pružaju usluge od općeg gospodarskog interesa</w:t>
      </w:r>
      <w:r>
        <w:rPr>
          <w:rFonts w:ascii="Arial" w:eastAsia="Arial" w:hAnsi="Arial" w:cs="Arial"/>
          <w:color w:val="000000"/>
          <w:vertAlign w:val="superscript"/>
        </w:rPr>
        <w:footnoteReference w:id="1"/>
      </w:r>
      <w:r>
        <w:rPr>
          <w:rFonts w:ascii="Arial" w:eastAsia="Arial" w:hAnsi="Arial" w:cs="Arial"/>
          <w:color w:val="000000"/>
        </w:rPr>
        <w:t xml:space="preserve"> do gornjih granica utvrđenih u navedenoj Uredbi. Također, mogu se zbrajati s drugim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potporama do odgovarajuće gornje granice utvrđene člankom 3. stavkom 2.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Uredbe. </w:t>
      </w:r>
    </w:p>
    <w:p w14:paraId="3E724763" w14:textId="77777777" w:rsidR="00F709C4" w:rsidRDefault="00F709C4" w:rsidP="00F709C4">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mogu se zbrajati 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ovog Programa i uredbom o skupnom izuzeću odnosno odlukom Europske komisije.</w:t>
      </w:r>
    </w:p>
    <w:p w14:paraId="41298931" w14:textId="77777777" w:rsidR="00F709C4" w:rsidRDefault="00F709C4" w:rsidP="00F709C4">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koje nisu dodijeljene za određene prihvatljive troškove ili se njima ne mogu pripisati, mogu se zbrajati s drugim državnim potporama dodijeljenim u skladu s uredbom o skupnom izuzeću ili odlukom Europske komisije.</w:t>
      </w:r>
    </w:p>
    <w:p w14:paraId="7180E9AD" w14:textId="77777777" w:rsidR="00F709C4" w:rsidRDefault="00F709C4" w:rsidP="00F709C4">
      <w:pPr>
        <w:numPr>
          <w:ilvl w:val="0"/>
          <w:numId w:val="1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Prilikom utvrđivanja poštuju li se odredbe ovog članka Programa o zbrajanju potpora, TZGZ će uzeti u obzir sve iznose potpora koje su određenom poduzetniku, projektu ili aktivnosti dodijeljene iz državnih/javnih izvora neovisno o tomu radi li se o sredstvima TZGZ-a ili drugih davatelja potpora na razini središnje države ili sredstvima dodijeljenim od strane jedinica lokalne i područne (regionalne) samouprave ili sredstvima iz ESI fondova.</w:t>
      </w:r>
    </w:p>
    <w:p w14:paraId="7991799F"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5CF3B8A1" w14:textId="77777777" w:rsidR="00F709C4" w:rsidRDefault="00F709C4" w:rsidP="00F709C4">
      <w:pPr>
        <w:spacing w:after="0" w:line="240" w:lineRule="auto"/>
        <w:ind w:left="0" w:hanging="2"/>
        <w:rPr>
          <w:rFonts w:ascii="Arial" w:eastAsia="Arial" w:hAnsi="Arial" w:cs="Arial"/>
        </w:rPr>
      </w:pPr>
      <w:r>
        <w:rPr>
          <w:rFonts w:ascii="Arial" w:eastAsia="Arial" w:hAnsi="Arial" w:cs="Arial"/>
          <w:b/>
        </w:rPr>
        <w:t>Obveze Prijavitelja/korisnika potpore</w:t>
      </w:r>
    </w:p>
    <w:p w14:paraId="0CFED9AC"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11.</w:t>
      </w:r>
    </w:p>
    <w:p w14:paraId="27F16584" w14:textId="77777777" w:rsidR="00F709C4" w:rsidRDefault="00F709C4" w:rsidP="00F709C4">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potpore dužan je dostavljati TZGZ-u izvješća o realizaciji projekta za koji je dobio potporu, što će se utvrditi ugovorom o korištenju sredstava TZGZ-a.</w:t>
      </w:r>
    </w:p>
    <w:p w14:paraId="72D03E1C" w14:textId="77777777" w:rsidR="00F709C4" w:rsidRDefault="00F709C4" w:rsidP="00F709C4">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TZGZ ima pravo u svako doba, putem ovlaštenih osoba, pratiti i kontrolirati namjensko korištenje sredstava te izvršenje prava i obveza Prijavitelja/korisnika sredstava u skladu s odredbama sklopljenog ugovora o korištenju sredstava.</w:t>
      </w:r>
    </w:p>
    <w:p w14:paraId="39EBAB1D" w14:textId="77777777" w:rsidR="00F709C4" w:rsidRDefault="00F709C4" w:rsidP="00F709C4">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Ukoliko Prijavitelj/korisnik kojemu je dodijeljena potpora ne koristi dodijeljena sredstva namjenski i/ili odustane od odobrenog projekta, a potpora je dodijeljena, TZGZ će pokrenuti postupak povrata potpore.</w:t>
      </w:r>
    </w:p>
    <w:p w14:paraId="21104397" w14:textId="77777777" w:rsidR="00F709C4" w:rsidRDefault="00F709C4" w:rsidP="00F709C4">
      <w:pPr>
        <w:numPr>
          <w:ilvl w:val="0"/>
          <w:numId w:val="5"/>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Uvjete i način povrata potpore TZGZ će urediti u Ugovoru iz članka 20. ovog Programa.</w:t>
      </w:r>
    </w:p>
    <w:p w14:paraId="07FDB959"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2BBC355E" w14:textId="77777777" w:rsidR="00F709C4" w:rsidRDefault="00F709C4" w:rsidP="00F709C4">
      <w:pPr>
        <w:spacing w:after="0" w:line="240" w:lineRule="auto"/>
        <w:ind w:left="0" w:hanging="2"/>
        <w:rPr>
          <w:rFonts w:ascii="Arial" w:eastAsia="Arial" w:hAnsi="Arial" w:cs="Arial"/>
        </w:rPr>
      </w:pPr>
      <w:r>
        <w:rPr>
          <w:rFonts w:ascii="Arial" w:eastAsia="Arial" w:hAnsi="Arial" w:cs="Arial"/>
          <w:b/>
        </w:rPr>
        <w:t>Obveze TZGZ-a</w:t>
      </w:r>
    </w:p>
    <w:p w14:paraId="6E582D2A"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12.</w:t>
      </w:r>
    </w:p>
    <w:p w14:paraId="47C9922D"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TZGZ je dužan:</w:t>
      </w:r>
    </w:p>
    <w:p w14:paraId="1AF9B42C" w14:textId="77777777" w:rsidR="00F709C4" w:rsidRDefault="00F709C4" w:rsidP="00F709C4">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pisanim putem obavijestiti Prijavitelja/korisnika o dodijeljenom iznosu potpore izraženom u obliku bruto novčane potpore kao i o tome da mu je dodijeljena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i/>
        </w:rPr>
        <w:t xml:space="preserve"> </w:t>
      </w:r>
      <w:r>
        <w:rPr>
          <w:rFonts w:ascii="Arial" w:eastAsia="Arial" w:hAnsi="Arial" w:cs="Arial"/>
        </w:rPr>
        <w:t>potpora, sve pozivajući se na Uredbu komisije 1407/2013,</w:t>
      </w:r>
    </w:p>
    <w:p w14:paraId="7881BE11" w14:textId="77777777" w:rsidR="00F709C4" w:rsidRDefault="00F709C4" w:rsidP="00F709C4">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voditi evidenciju dodijeljenih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rPr>
        <w:t xml:space="preserve"> potpora,</w:t>
      </w:r>
    </w:p>
    <w:p w14:paraId="24659A53" w14:textId="77777777" w:rsidR="00F709C4" w:rsidRDefault="00F709C4" w:rsidP="00F709C4">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godišnje dostaviti Ministarstvu financija podatke o dodijeljenim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rPr>
        <w:t xml:space="preserve"> potporama na propisanim obrascima do 30. travnja tekuće godine za prethodnu godinu, a po potrebi i na zahtjev Ministarstva financija u za to određenom roku,</w:t>
      </w:r>
    </w:p>
    <w:p w14:paraId="68DE1746" w14:textId="77777777" w:rsidR="00F709C4" w:rsidRDefault="00F709C4" w:rsidP="00F709C4">
      <w:pPr>
        <w:numPr>
          <w:ilvl w:val="0"/>
          <w:numId w:val="18"/>
        </w:numPr>
        <w:spacing w:after="0" w:line="240" w:lineRule="auto"/>
        <w:ind w:left="0" w:hanging="2"/>
        <w:jc w:val="both"/>
        <w:rPr>
          <w:rFonts w:ascii="Arial" w:eastAsia="Arial" w:hAnsi="Arial" w:cs="Arial"/>
        </w:rPr>
      </w:pPr>
      <w:r>
        <w:rPr>
          <w:rFonts w:ascii="Arial" w:eastAsia="Arial" w:hAnsi="Arial" w:cs="Arial"/>
        </w:rPr>
        <w:t xml:space="preserve">čuvati podatke o dodijeljenim </w:t>
      </w:r>
      <w:r>
        <w:rPr>
          <w:rFonts w:ascii="Arial" w:eastAsia="Arial" w:hAnsi="Arial" w:cs="Arial"/>
          <w:i/>
        </w:rPr>
        <w:t xml:space="preserve">de </w:t>
      </w:r>
      <w:proofErr w:type="spellStart"/>
      <w:r>
        <w:rPr>
          <w:rFonts w:ascii="Arial" w:eastAsia="Arial" w:hAnsi="Arial" w:cs="Arial"/>
          <w:i/>
        </w:rPr>
        <w:t>minimis</w:t>
      </w:r>
      <w:proofErr w:type="spellEnd"/>
      <w:r>
        <w:rPr>
          <w:rFonts w:ascii="Arial" w:eastAsia="Arial" w:hAnsi="Arial" w:cs="Arial"/>
        </w:rPr>
        <w:t xml:space="preserve"> potporama deset godina od dana dodjele, sve sukladno posebnom propisu.</w:t>
      </w:r>
    </w:p>
    <w:p w14:paraId="2B2FD051" w14:textId="77777777" w:rsidR="00F709C4" w:rsidRDefault="00F709C4" w:rsidP="00F709C4">
      <w:pPr>
        <w:spacing w:after="0" w:line="240" w:lineRule="auto"/>
        <w:ind w:left="0" w:hanging="2"/>
        <w:rPr>
          <w:rFonts w:ascii="Arial" w:eastAsia="Arial" w:hAnsi="Arial" w:cs="Arial"/>
        </w:rPr>
      </w:pPr>
    </w:p>
    <w:p w14:paraId="64577EE0" w14:textId="77777777" w:rsidR="00F709C4" w:rsidRDefault="00F709C4" w:rsidP="00F709C4">
      <w:pPr>
        <w:spacing w:after="0" w:line="240" w:lineRule="auto"/>
        <w:ind w:left="0" w:hanging="2"/>
        <w:rPr>
          <w:rFonts w:ascii="Arial" w:eastAsia="Arial" w:hAnsi="Arial" w:cs="Arial"/>
        </w:rPr>
      </w:pPr>
    </w:p>
    <w:p w14:paraId="0BAB5436" w14:textId="77777777" w:rsidR="00F709C4" w:rsidRDefault="00F709C4" w:rsidP="00F709C4">
      <w:pPr>
        <w:spacing w:after="0" w:line="240" w:lineRule="auto"/>
        <w:ind w:left="0" w:hanging="2"/>
        <w:rPr>
          <w:rFonts w:ascii="Arial" w:eastAsia="Arial" w:hAnsi="Arial" w:cs="Arial"/>
        </w:rPr>
      </w:pPr>
    </w:p>
    <w:p w14:paraId="46CA4042" w14:textId="77777777" w:rsidR="00F709C4" w:rsidRDefault="00F709C4" w:rsidP="00F709C4">
      <w:pPr>
        <w:spacing w:after="0" w:line="240" w:lineRule="auto"/>
        <w:ind w:left="0" w:hanging="2"/>
        <w:rPr>
          <w:rFonts w:ascii="Arial" w:eastAsia="Arial" w:hAnsi="Arial" w:cs="Arial"/>
        </w:rPr>
      </w:pPr>
    </w:p>
    <w:p w14:paraId="580FF6FF" w14:textId="77777777" w:rsidR="00F709C4" w:rsidRDefault="00F709C4" w:rsidP="00F709C4">
      <w:pPr>
        <w:spacing w:after="0" w:line="240" w:lineRule="auto"/>
        <w:ind w:left="0" w:hanging="2"/>
        <w:rPr>
          <w:rFonts w:ascii="Arial" w:eastAsia="Arial" w:hAnsi="Arial" w:cs="Arial"/>
        </w:rPr>
      </w:pPr>
    </w:p>
    <w:p w14:paraId="7783785D" w14:textId="77777777" w:rsidR="00F709C4" w:rsidRDefault="00F709C4" w:rsidP="00F709C4">
      <w:pPr>
        <w:spacing w:after="0" w:line="240" w:lineRule="auto"/>
        <w:ind w:left="0" w:hanging="2"/>
        <w:rPr>
          <w:rFonts w:ascii="Arial" w:eastAsia="Arial" w:hAnsi="Arial" w:cs="Arial"/>
        </w:rPr>
      </w:pPr>
      <w:r>
        <w:rPr>
          <w:rFonts w:ascii="Arial" w:eastAsia="Arial" w:hAnsi="Arial" w:cs="Arial"/>
          <w:b/>
        </w:rPr>
        <w:t>Predmet Javnog poziva</w:t>
      </w:r>
    </w:p>
    <w:p w14:paraId="09AD7EED"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13.</w:t>
      </w:r>
    </w:p>
    <w:p w14:paraId="5FEAF661" w14:textId="77777777" w:rsidR="00F709C4" w:rsidRPr="00F709C4" w:rsidRDefault="00F709C4" w:rsidP="00F709C4">
      <w:pPr>
        <w:numPr>
          <w:ilvl w:val="0"/>
          <w:numId w:val="6"/>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Na temelju ovog Programa TZGZ će objaviti Javni poziv za dostavu projektnih prijedloga (u nastavku; Javni poziv) za sufinanciranje projekata, manifestacija, marketinških projekata, skupova i kandidatura </w:t>
      </w:r>
      <w:r w:rsidRPr="00F709C4">
        <w:rPr>
          <w:rFonts w:ascii="Arial" w:eastAsia="Arial" w:hAnsi="Arial" w:cs="Arial"/>
          <w:color w:val="000000"/>
        </w:rPr>
        <w:t>u 202</w:t>
      </w:r>
      <w:r w:rsidRPr="00F709C4">
        <w:rPr>
          <w:rFonts w:ascii="Arial" w:eastAsia="Arial" w:hAnsi="Arial" w:cs="Arial"/>
        </w:rPr>
        <w:t>4</w:t>
      </w:r>
      <w:r w:rsidRPr="00F709C4">
        <w:rPr>
          <w:rFonts w:ascii="Arial" w:eastAsia="Arial" w:hAnsi="Arial" w:cs="Arial"/>
          <w:color w:val="000000"/>
        </w:rPr>
        <w:t>. godini iz članka 4. ovog Programa.</w:t>
      </w:r>
    </w:p>
    <w:p w14:paraId="57D076C9" w14:textId="7568A9CA" w:rsidR="00F709C4" w:rsidRPr="00F709C4" w:rsidRDefault="00F709C4" w:rsidP="00F709C4">
      <w:pPr>
        <w:numPr>
          <w:ilvl w:val="0"/>
          <w:numId w:val="6"/>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Raspoloživi iznos sredstava za potpore iz članka 3. u 202</w:t>
      </w:r>
      <w:r w:rsidRPr="00F709C4">
        <w:rPr>
          <w:rFonts w:ascii="Arial" w:eastAsia="Arial" w:hAnsi="Arial" w:cs="Arial"/>
        </w:rPr>
        <w:t>4</w:t>
      </w:r>
      <w:r w:rsidRPr="00F709C4">
        <w:rPr>
          <w:rFonts w:ascii="Arial" w:eastAsia="Arial" w:hAnsi="Arial" w:cs="Arial"/>
          <w:color w:val="000000"/>
        </w:rPr>
        <w:t>. iznosi</w:t>
      </w:r>
      <w:r w:rsidRPr="00F709C4">
        <w:rPr>
          <w:rFonts w:ascii="Arial" w:eastAsia="Arial" w:hAnsi="Arial" w:cs="Arial"/>
          <w:color w:val="000000"/>
        </w:rPr>
        <w:t xml:space="preserve"> </w:t>
      </w:r>
      <w:r w:rsidRPr="00F709C4">
        <w:rPr>
          <w:rFonts w:ascii="Arial" w:eastAsia="Arial" w:hAnsi="Arial" w:cs="Arial"/>
        </w:rPr>
        <w:t xml:space="preserve">265.445,62 EUR </w:t>
      </w:r>
      <w:r w:rsidRPr="00F709C4">
        <w:rPr>
          <w:rFonts w:ascii="Arial" w:eastAsia="Arial" w:hAnsi="Arial" w:cs="Arial"/>
          <w:color w:val="000000"/>
        </w:rPr>
        <w:t>Iznos će biti konkretiziran u Programu rada za 202</w:t>
      </w:r>
      <w:r w:rsidRPr="00F709C4">
        <w:rPr>
          <w:rFonts w:ascii="Arial" w:eastAsia="Arial" w:hAnsi="Arial" w:cs="Arial"/>
        </w:rPr>
        <w:t>4</w:t>
      </w:r>
      <w:r w:rsidRPr="00F709C4">
        <w:rPr>
          <w:rFonts w:ascii="Arial" w:eastAsia="Arial" w:hAnsi="Arial" w:cs="Arial"/>
          <w:color w:val="000000"/>
        </w:rPr>
        <w:t>. godinu, a sukladno svim okolnostima koje utječu ili će utjecati na turizam.</w:t>
      </w:r>
    </w:p>
    <w:p w14:paraId="7369F401"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p>
    <w:p w14:paraId="42C2B549"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14.</w:t>
      </w:r>
    </w:p>
    <w:p w14:paraId="42B19327" w14:textId="77777777" w:rsidR="00F709C4" w:rsidRDefault="00F709C4" w:rsidP="00F709C4">
      <w:pPr>
        <w:numPr>
          <w:ilvl w:val="0"/>
          <w:numId w:val="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Javni poziv se objavljuje na službenim web-stranicama TZGZ-a.</w:t>
      </w:r>
    </w:p>
    <w:p w14:paraId="31670CA5" w14:textId="77777777" w:rsidR="00F709C4" w:rsidRDefault="00F709C4" w:rsidP="00F709C4">
      <w:pPr>
        <w:numPr>
          <w:ilvl w:val="0"/>
          <w:numId w:val="7"/>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Javnim pozivom se naročito određuje sljedeće:</w:t>
      </w:r>
    </w:p>
    <w:p w14:paraId="595CE8BC" w14:textId="77777777" w:rsidR="00F709C4" w:rsidRDefault="00F709C4" w:rsidP="00F709C4">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predmet Javnog poziva,</w:t>
      </w:r>
    </w:p>
    <w:p w14:paraId="5C59697C" w14:textId="77777777" w:rsidR="00F709C4" w:rsidRDefault="00F709C4" w:rsidP="00F709C4">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dokumentacija koja čini Prijavu,</w:t>
      </w:r>
    </w:p>
    <w:p w14:paraId="6D30972E" w14:textId="77777777" w:rsidR="00F709C4" w:rsidRDefault="00F709C4" w:rsidP="00F709C4">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posebni uvjeti koje korisnici moraju zadovoljavati po pojedinoj aktivnosti,</w:t>
      </w:r>
    </w:p>
    <w:p w14:paraId="7C24B771" w14:textId="77777777" w:rsidR="00F709C4" w:rsidRDefault="00F709C4" w:rsidP="00F709C4">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prihvatljivi i neprihvatljivi troškovi,</w:t>
      </w:r>
    </w:p>
    <w:p w14:paraId="279E7472" w14:textId="77777777" w:rsidR="00F709C4" w:rsidRDefault="00F709C4" w:rsidP="00F709C4">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rokovi, način i uvjeti za podnošenje Prijava,</w:t>
      </w:r>
    </w:p>
    <w:p w14:paraId="04E5FFC7" w14:textId="77777777" w:rsidR="00F709C4" w:rsidRDefault="00F709C4" w:rsidP="00F709C4">
      <w:pPr>
        <w:numPr>
          <w:ilvl w:val="0"/>
          <w:numId w:val="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način isplate potpore.</w:t>
      </w:r>
    </w:p>
    <w:p w14:paraId="069217EA"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2DAC1C57"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3EC7EF27"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Prijava projektnih prijedloga</w:t>
      </w:r>
    </w:p>
    <w:p w14:paraId="172E71D4"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15.</w:t>
      </w:r>
    </w:p>
    <w:p w14:paraId="6BD19081" w14:textId="77777777" w:rsidR="00F709C4" w:rsidRDefault="00F709C4" w:rsidP="00F709C4">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Prijava se podnosi na temelju Javnog poziva iz članka 14. ovog Programa.</w:t>
      </w:r>
    </w:p>
    <w:p w14:paraId="61A1916F" w14:textId="77777777" w:rsidR="00F709C4" w:rsidRDefault="00F709C4" w:rsidP="00F709C4">
      <w:pPr>
        <w:numPr>
          <w:ilvl w:val="0"/>
          <w:numId w:val="4"/>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Prijave se dostavljaju putem Obrasca koji se nalazi na sljedećoj poveznici: http://digitalna-prijava.tzgz.hr i njegov su sastavni dio, zajedno s propisanom dokumentacijom, isključivo putem elektronskog obrasca.</w:t>
      </w:r>
    </w:p>
    <w:p w14:paraId="0E5530CF"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753E34BC" w14:textId="77777777" w:rsidR="00F709C4" w:rsidRDefault="00F709C4" w:rsidP="00F709C4">
      <w:pPr>
        <w:spacing w:after="0" w:line="240" w:lineRule="auto"/>
        <w:ind w:left="0" w:hanging="2"/>
        <w:rPr>
          <w:rFonts w:ascii="Arial" w:eastAsia="Arial" w:hAnsi="Arial" w:cs="Arial"/>
        </w:rPr>
      </w:pPr>
      <w:r>
        <w:rPr>
          <w:rFonts w:ascii="Arial" w:eastAsia="Arial" w:hAnsi="Arial" w:cs="Arial"/>
          <w:b/>
        </w:rPr>
        <w:t>Dokumentacija</w:t>
      </w:r>
    </w:p>
    <w:p w14:paraId="6E7A11B2"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16.</w:t>
      </w:r>
    </w:p>
    <w:p w14:paraId="5C05CE2D"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Osim izjave iz članka 8. stavka 4. ovog Programa, TZGZ će u Javnom pozivu za svaku od predviđenih aktivnosti iz članka 4. ovog Programa, propisati koju dokumentaciju Prijavitelji/korisnici moraju dostaviti prilikom podnošenja Prijave projektnih prijedloga.</w:t>
      </w:r>
    </w:p>
    <w:p w14:paraId="65C37F91" w14:textId="77777777" w:rsidR="00F709C4" w:rsidRDefault="00F709C4" w:rsidP="00F709C4">
      <w:pPr>
        <w:spacing w:after="0" w:line="240" w:lineRule="auto"/>
        <w:ind w:left="0" w:hanging="2"/>
        <w:jc w:val="both"/>
        <w:rPr>
          <w:rFonts w:ascii="Arial" w:eastAsia="Arial" w:hAnsi="Arial" w:cs="Arial"/>
        </w:rPr>
      </w:pPr>
    </w:p>
    <w:p w14:paraId="1801DB1C"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 xml:space="preserve">Obrada Prijava  </w:t>
      </w:r>
    </w:p>
    <w:p w14:paraId="1A3F7733"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17.</w:t>
      </w:r>
    </w:p>
    <w:p w14:paraId="0FCC9195"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Obradu Prijava obavlja Radna skupina koju čine najmanje tri člana iz redova zaposlenika u sektoru nadležnom za obradu Prijava.</w:t>
      </w:r>
    </w:p>
    <w:p w14:paraId="35F9C17E"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Prilikom obrade Prijava utvrđuje se pravovremenost, potpunost i udovoljavanje Prijave uvjetima propisanim ovim Programom i Javnim pozivom. Prijava zaprimljena nakon isteka propisanog roka neće se razmatrati.</w:t>
      </w:r>
    </w:p>
    <w:p w14:paraId="4980D9BC"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Ako je Prijava pravodobno podnesena, ali se utvrdi da neki podaci nedostaju, TZGZ je ovlašten zatražiti dopunu kojom se od Prijavitelja traži dostavljanje dodatnih podataka ili ispravak potrebnih podataka u za to određenom roku.</w:t>
      </w:r>
    </w:p>
    <w:p w14:paraId="6F2DEEC4"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 je dužan dostaviti dopunu preporučenom poštom s povratnicom u roku od pet dana od dana zaprimanja Zahtjeva za dopunu. Nedostavljena dopuna ili dopuna prijave dostavljena nakon proteka roka za dostavu dopuna smatra se nepotpunom prijavom.</w:t>
      </w:r>
    </w:p>
    <w:p w14:paraId="502DBD81"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rPr>
        <w:t xml:space="preserve">Prijava koja nije dostavljena putem digitalnog obrasca sukladno Javnom pozivu neće se razmatrati. </w:t>
      </w:r>
    </w:p>
    <w:p w14:paraId="05CBD1B6"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Potpune, na propisani način dostavljene te pravovremeno dopunjene Prijave ulaze u daljnju obradu.</w:t>
      </w:r>
    </w:p>
    <w:p w14:paraId="7738F068"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lastRenderedPageBreak/>
        <w:t>Nakon obrade svake pristigle Prijave, u slučaju potrebe za rangiranjem, utvrdit će se rang − lista Prijava, u padajućem nizu, sukladno utvrđenim kriterijima. TZGZ će s obzirom na raspoloživa sredstva i utvrđenoj rang listi utvrditi koji poduzetnici imaju pravo na dobivanje potpore.</w:t>
      </w:r>
    </w:p>
    <w:p w14:paraId="5E6BB5F3" w14:textId="77777777" w:rsidR="00F709C4" w:rsidRDefault="00F709C4" w:rsidP="00F709C4">
      <w:pPr>
        <w:numPr>
          <w:ilvl w:val="0"/>
          <w:numId w:val="2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Prilikom obrade Prijava, TZGZ provjerava i dostupne podatke potrebne za donošenje konačne odluke o dodjeli potpore od drugih javnih tijela koja vode službenu evidenciju sukladno posebnim propisima.</w:t>
      </w:r>
    </w:p>
    <w:p w14:paraId="653001F8"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7DC86700"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Donošenje odluka</w:t>
      </w:r>
    </w:p>
    <w:p w14:paraId="0C245806"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18.</w:t>
      </w:r>
    </w:p>
    <w:p w14:paraId="69519CBE" w14:textId="77777777" w:rsidR="00F709C4" w:rsidRPr="00F709C4" w:rsidRDefault="00F709C4" w:rsidP="00F709C4">
      <w:pPr>
        <w:numPr>
          <w:ilvl w:val="0"/>
          <w:numId w:val="1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Nakon obrade Prijave, sastavlja se prijedlog odluke o dodjeli potpore za prijavitelje čiji projekti i aktivnosti zadovoljavaju sve uvjete i kriterije za dodjelu, a prijedlog te odluke je sastavni dio Prijedloga programa </w:t>
      </w:r>
      <w:r w:rsidRPr="00F709C4">
        <w:rPr>
          <w:rFonts w:ascii="Arial" w:eastAsia="Arial" w:hAnsi="Arial" w:cs="Arial"/>
          <w:color w:val="000000"/>
        </w:rPr>
        <w:t>za 202</w:t>
      </w:r>
      <w:r w:rsidRPr="00F709C4">
        <w:rPr>
          <w:rFonts w:ascii="Arial" w:eastAsia="Arial" w:hAnsi="Arial" w:cs="Arial"/>
        </w:rPr>
        <w:t>4</w:t>
      </w:r>
      <w:r w:rsidRPr="00F709C4">
        <w:rPr>
          <w:rFonts w:ascii="Arial" w:eastAsia="Arial" w:hAnsi="Arial" w:cs="Arial"/>
          <w:color w:val="000000"/>
        </w:rPr>
        <w:t>. godinu koji Prijedlog donosi Turističko vijeće TZGZ-a.</w:t>
      </w:r>
    </w:p>
    <w:p w14:paraId="7AF7188F" w14:textId="77777777" w:rsidR="00F709C4" w:rsidRPr="00F709C4" w:rsidRDefault="00F709C4" w:rsidP="00F709C4">
      <w:pPr>
        <w:numPr>
          <w:ilvl w:val="0"/>
          <w:numId w:val="11"/>
        </w:numPr>
        <w:pBdr>
          <w:top w:val="nil"/>
          <w:left w:val="nil"/>
          <w:bottom w:val="nil"/>
          <w:right w:val="nil"/>
          <w:between w:val="nil"/>
        </w:pBdr>
        <w:spacing w:after="0" w:line="240" w:lineRule="auto"/>
        <w:ind w:left="0" w:hanging="2"/>
        <w:jc w:val="both"/>
        <w:rPr>
          <w:rFonts w:ascii="Arial" w:eastAsia="Arial" w:hAnsi="Arial" w:cs="Arial"/>
          <w:color w:val="000000"/>
        </w:rPr>
      </w:pPr>
      <w:r w:rsidRPr="00F709C4">
        <w:rPr>
          <w:rFonts w:ascii="Arial" w:eastAsia="Arial" w:hAnsi="Arial" w:cs="Arial"/>
          <w:color w:val="000000"/>
        </w:rPr>
        <w:t xml:space="preserve">Odluku o dodjeli </w:t>
      </w:r>
      <w:r w:rsidRPr="00F709C4">
        <w:rPr>
          <w:rFonts w:ascii="Arial" w:eastAsia="Arial" w:hAnsi="Arial" w:cs="Arial"/>
          <w:i/>
          <w:color w:val="000000"/>
        </w:rPr>
        <w:t xml:space="preserve">de </w:t>
      </w:r>
      <w:proofErr w:type="spellStart"/>
      <w:r w:rsidRPr="00F709C4">
        <w:rPr>
          <w:rFonts w:ascii="Arial" w:eastAsia="Arial" w:hAnsi="Arial" w:cs="Arial"/>
          <w:i/>
          <w:color w:val="000000"/>
        </w:rPr>
        <w:t>minimis</w:t>
      </w:r>
      <w:proofErr w:type="spellEnd"/>
      <w:r w:rsidRPr="00F709C4">
        <w:rPr>
          <w:rFonts w:ascii="Arial" w:eastAsia="Arial" w:hAnsi="Arial" w:cs="Arial"/>
          <w:i/>
          <w:color w:val="000000"/>
        </w:rPr>
        <w:t xml:space="preserve"> </w:t>
      </w:r>
      <w:r w:rsidRPr="00F709C4">
        <w:rPr>
          <w:rFonts w:ascii="Arial" w:eastAsia="Arial" w:hAnsi="Arial" w:cs="Arial"/>
          <w:color w:val="000000"/>
        </w:rPr>
        <w:t>potpore koja je sastavni dio Programa rada za 202</w:t>
      </w:r>
      <w:r w:rsidRPr="00F709C4">
        <w:rPr>
          <w:rFonts w:ascii="Arial" w:eastAsia="Arial" w:hAnsi="Arial" w:cs="Arial"/>
        </w:rPr>
        <w:t>4</w:t>
      </w:r>
      <w:r w:rsidRPr="00F709C4">
        <w:rPr>
          <w:rFonts w:ascii="Arial" w:eastAsia="Arial" w:hAnsi="Arial" w:cs="Arial"/>
          <w:color w:val="000000"/>
        </w:rPr>
        <w:t xml:space="preserve">. godinu donosi Skupština TZGZ-a prilikom usvajanja tog Programa. </w:t>
      </w:r>
    </w:p>
    <w:p w14:paraId="74762998" w14:textId="77777777" w:rsidR="00F709C4" w:rsidRDefault="00F709C4" w:rsidP="00F709C4">
      <w:pPr>
        <w:numPr>
          <w:ilvl w:val="0"/>
          <w:numId w:val="11"/>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TZGZ će dodijeliti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potporu u skladu s ovim Programom tek nakon što utvrdi da to neće povisiti ukupan iznos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 koji je taj poduzetnik primio do razine koja premašuje odgovarajuću gornju granicu iz članka 8. ovog Programa i da su ispunjeni svi uvjeti predviđeni ovim Programom.</w:t>
      </w:r>
    </w:p>
    <w:p w14:paraId="7426B1F7"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p>
    <w:p w14:paraId="0B86336A"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19.</w:t>
      </w:r>
    </w:p>
    <w:p w14:paraId="366F2587"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Potpora se ne dodjeljuje prijaviteljima za projekte i aktivnosti ako:</w:t>
      </w:r>
    </w:p>
    <w:p w14:paraId="60FF7279"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 ne udovoljavaju uvjetima i kriterijima propisanim ovim Programom i Javnim pozivom,</w:t>
      </w:r>
    </w:p>
    <w:p w14:paraId="42D78245"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 podaci iz prijave se ne odnose na aktivnosti iz članka 3. Programa ili ako su ti podaci nevjerodostojni,</w:t>
      </w:r>
    </w:p>
    <w:p w14:paraId="60AD63A3"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 projekti nisu sukladni s postojećom dokumentacijom i/ili drugim važećim propisima,</w:t>
      </w:r>
    </w:p>
    <w:p w14:paraId="76D4447F"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 nisu izvršene zakonske i ugovorne obveze prema državi, institucijama svih razina ili su nenamjenski iskoristili prethodnu dodijeljenu potporu.</w:t>
      </w:r>
    </w:p>
    <w:p w14:paraId="4854A5A3" w14:textId="77777777" w:rsidR="00F709C4" w:rsidRDefault="00F709C4" w:rsidP="00F709C4">
      <w:pPr>
        <w:spacing w:after="0" w:line="240" w:lineRule="auto"/>
        <w:ind w:left="0" w:hanging="2"/>
        <w:rPr>
          <w:rFonts w:ascii="Arial" w:eastAsia="Arial" w:hAnsi="Arial" w:cs="Arial"/>
        </w:rPr>
      </w:pPr>
    </w:p>
    <w:p w14:paraId="72632E76"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b/>
        </w:rPr>
        <w:t>Ugovor o dodjeli potpore</w:t>
      </w:r>
    </w:p>
    <w:p w14:paraId="61FA534F"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20.</w:t>
      </w:r>
    </w:p>
    <w:p w14:paraId="5B5AF402"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Ugovorom se naročito uređuje:</w:t>
      </w:r>
    </w:p>
    <w:p w14:paraId="4B4FE9A9"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a) točan udio i visina odobrene potpore;</w:t>
      </w:r>
    </w:p>
    <w:p w14:paraId="53C3D8AD"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b) namjena dodijeljene potpore;</w:t>
      </w:r>
    </w:p>
    <w:p w14:paraId="1B5C4E59"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c) način isplate potpore;</w:t>
      </w:r>
    </w:p>
    <w:p w14:paraId="3F367C95"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d) obveza čuvanja dokumentacije koja se odnosi na predmet potpore sljedećih deset godina od datuma konačne isplate potpore;</w:t>
      </w:r>
    </w:p>
    <w:p w14:paraId="28562836"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e) način i postupak izvještavanja;</w:t>
      </w:r>
    </w:p>
    <w:p w14:paraId="0C516F6B"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f)</w:t>
      </w:r>
      <w:r>
        <w:rPr>
          <w:rFonts w:ascii="Arial" w:eastAsia="Arial" w:hAnsi="Arial" w:cs="Arial"/>
        </w:rPr>
        <w:t xml:space="preserve"> </w:t>
      </w:r>
      <w:r>
        <w:rPr>
          <w:rFonts w:ascii="Arial" w:eastAsia="Arial" w:hAnsi="Arial" w:cs="Arial"/>
          <w:color w:val="000000"/>
        </w:rPr>
        <w:t>obveza Prijavitelja/korisnika da dopusti u svakom trenutku nesmetan pristup i kontrolu TZGZ-a o namjenskom korištenju potpore;</w:t>
      </w:r>
    </w:p>
    <w:p w14:paraId="2B2C2082"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g) postupanje u slučaju nastupanja nepredviđenih okolnosti tijekom izvršenja Ugovora;</w:t>
      </w:r>
    </w:p>
    <w:p w14:paraId="56E7DD63"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h) povrat dodijeljene potpore;</w:t>
      </w:r>
    </w:p>
    <w:p w14:paraId="182507B8"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i) odredbe o raskidu Ugovora;</w:t>
      </w:r>
    </w:p>
    <w:p w14:paraId="5FA5CEC5"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j) nadležni sud u slučaju spora.</w:t>
      </w:r>
    </w:p>
    <w:p w14:paraId="76FA4CDB"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p>
    <w:p w14:paraId="7B635FF9"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Sklapanje Ugovora o dodjeli potpore</w:t>
      </w:r>
    </w:p>
    <w:p w14:paraId="2E65BB62"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21.</w:t>
      </w:r>
    </w:p>
    <w:p w14:paraId="0FD2760C"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Nakon odobrenja potpore, a sukladno terminu održavanja aktivnosti, TZGZ će Prijavitelju/korisniku dostaviti na potpis Ugovor o dodjeli potpore zajedno s Obavijesti o predviđenom iznosu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odnosno ugovor može poslužiti kao Obavijest. </w:t>
      </w:r>
    </w:p>
    <w:p w14:paraId="18075CDD" w14:textId="77777777" w:rsidR="00F709C4" w:rsidRDefault="00F709C4" w:rsidP="00F709C4">
      <w:pPr>
        <w:spacing w:after="0" w:line="240" w:lineRule="auto"/>
        <w:ind w:left="0" w:hanging="2"/>
        <w:rPr>
          <w:rFonts w:ascii="Arial" w:eastAsia="Arial" w:hAnsi="Arial" w:cs="Arial"/>
        </w:rPr>
      </w:pPr>
    </w:p>
    <w:p w14:paraId="6D824E18" w14:textId="77777777" w:rsidR="00F709C4" w:rsidRDefault="00F709C4" w:rsidP="00F709C4">
      <w:pPr>
        <w:spacing w:after="0" w:line="240" w:lineRule="auto"/>
        <w:ind w:left="0" w:hanging="2"/>
        <w:rPr>
          <w:rFonts w:ascii="Arial" w:eastAsia="Arial" w:hAnsi="Arial" w:cs="Arial"/>
        </w:rPr>
      </w:pPr>
      <w:r>
        <w:rPr>
          <w:rFonts w:ascii="Arial" w:eastAsia="Arial" w:hAnsi="Arial" w:cs="Arial"/>
          <w:b/>
        </w:rPr>
        <w:t>Isplata potpore</w:t>
      </w:r>
    </w:p>
    <w:p w14:paraId="3AFAD752"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p>
    <w:p w14:paraId="44232E25"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lastRenderedPageBreak/>
        <w:t>Članak 22.</w:t>
      </w:r>
    </w:p>
    <w:p w14:paraId="14AE149D"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Potpore sukladno ovom Programu, TZGZ isplaćuje korisnicima u rokovima utvrđenim u Javnom pozivu.</w:t>
      </w:r>
    </w:p>
    <w:p w14:paraId="75599656"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p>
    <w:p w14:paraId="08E95024"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p>
    <w:p w14:paraId="79B421F5"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Promijenjene okolnosti</w:t>
      </w:r>
    </w:p>
    <w:p w14:paraId="0E87ACA4"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23.</w:t>
      </w:r>
    </w:p>
    <w:p w14:paraId="05F6D424" w14:textId="77777777" w:rsidR="00F709C4" w:rsidRDefault="00F709C4" w:rsidP="00F709C4">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Prijavitelj/korisnik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je dužan, u slučaju promijenjenih okolnosti, bez odgode obavijestiti TZGZ o nastupu tih okolnosti. </w:t>
      </w:r>
    </w:p>
    <w:p w14:paraId="69352445" w14:textId="77777777" w:rsidR="00F709C4" w:rsidRDefault="00F709C4" w:rsidP="00F709C4">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U slučaju okolnosti iz stavka 1. ovog članka Programa Prijavitelj/korisnik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ima pravo predložiti izmjenu projekta i/ili Ugovora iz članka 20. ovog Programa. U tom slučaju, Prijavitelj/korisnik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je dužan dokazati postojanje opravdanih razloga za izmjenu projekta i/ili Ugovora, u roku od najviše 30 dana od dana događaja koje su dovele do promijenjenih okolnosti. </w:t>
      </w:r>
    </w:p>
    <w:p w14:paraId="36BD57F0" w14:textId="77777777" w:rsidR="00F709C4" w:rsidRDefault="00F709C4" w:rsidP="00F709C4">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Odluku o izmjeni projekta i/ili Ugovora donosi TZGZ, a o čemu se obavještava Prijavitelja/korisnika. </w:t>
      </w:r>
    </w:p>
    <w:p w14:paraId="18E3691B" w14:textId="77777777" w:rsidR="00F709C4" w:rsidRDefault="00F709C4" w:rsidP="00F709C4">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Izmjene iz prethodnog stavka ne smiju rezultirati dodjelom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u iznosu većem od najvećeg iznosa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potpore utvrđen Uredbom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odnosno u iznosu većem od 200.000,00 EUR u tri fiskalne godine. </w:t>
      </w:r>
    </w:p>
    <w:p w14:paraId="6743FF42" w14:textId="77777777" w:rsidR="00F709C4" w:rsidRDefault="00F709C4" w:rsidP="00F709C4">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može započeti s izvršenjem izmijenjenog projekta nakon zaprimljene odluke iz stavka 3. ovog članka Programa, a kojom odlukom se odobrava izmjena projekta i/ili Ugovora.</w:t>
      </w:r>
    </w:p>
    <w:p w14:paraId="36A467A3" w14:textId="77777777" w:rsidR="00F709C4" w:rsidRDefault="00F709C4" w:rsidP="00F709C4">
      <w:pPr>
        <w:numPr>
          <w:ilvl w:val="0"/>
          <w:numId w:val="1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Ako Prijavitelj/korisnik postupi protivno obvezama iz ovog članka Programa, a posebice ako izvrši promjene iz stavka 5. ovog članka Programa, promjene će se smatrati neprihvatljivim troškom i TZGZ će zatražiti povrat cjelokupnog iznosa potpore uvećanog za referentnu stopu u skladu s pravilima o državnim potporama. </w:t>
      </w:r>
    </w:p>
    <w:p w14:paraId="5C2897D4"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p>
    <w:p w14:paraId="1C558206"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b/>
          <w:color w:val="000000"/>
        </w:rPr>
        <w:t>Isplata i povrat potpore</w:t>
      </w:r>
    </w:p>
    <w:p w14:paraId="1769EA23"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24.</w:t>
      </w:r>
    </w:p>
    <w:p w14:paraId="5547FEE8" w14:textId="77777777" w:rsidR="00F709C4" w:rsidRDefault="00F709C4" w:rsidP="00F709C4">
      <w:pPr>
        <w:numPr>
          <w:ilvl w:val="0"/>
          <w:numId w:val="1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Potpora se isplaćuje na račun Prijavitelja/Korisnika u skladu s odredbama Ugovora iz članka 20. ovog Programa.</w:t>
      </w:r>
    </w:p>
    <w:p w14:paraId="460ADAFB" w14:textId="77777777" w:rsidR="00F709C4" w:rsidRDefault="00F709C4" w:rsidP="00F709C4">
      <w:pPr>
        <w:numPr>
          <w:ilvl w:val="0"/>
          <w:numId w:val="19"/>
        </w:num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TZGZ će zahtijevati povrat potpore ako:</w:t>
      </w:r>
    </w:p>
    <w:p w14:paraId="297F9AB7"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a) utvrdi da je Prijavitelj/korisnik nezakonito ostvario potporu;</w:t>
      </w:r>
    </w:p>
    <w:p w14:paraId="1F5F158E" w14:textId="77777777" w:rsidR="00F709C4" w:rsidRDefault="00F709C4" w:rsidP="00F709C4">
      <w:pPr>
        <w:pBdr>
          <w:top w:val="nil"/>
          <w:left w:val="nil"/>
          <w:bottom w:val="nil"/>
          <w:right w:val="nil"/>
          <w:between w:val="nil"/>
        </w:pBdr>
        <w:spacing w:after="0" w:line="240" w:lineRule="auto"/>
        <w:ind w:left="0" w:hanging="2"/>
        <w:rPr>
          <w:rFonts w:ascii="Arial" w:eastAsia="Arial" w:hAnsi="Arial" w:cs="Arial"/>
          <w:color w:val="000000"/>
        </w:rPr>
      </w:pPr>
      <w:r>
        <w:rPr>
          <w:rFonts w:ascii="Arial" w:eastAsia="Arial" w:hAnsi="Arial" w:cs="Arial"/>
          <w:color w:val="000000"/>
        </w:rPr>
        <w:t>b) prijavitelj/korisnik koristi potporu na način koji nije u skladu s namjenom iz članka 4. ovog Programa.</w:t>
      </w:r>
    </w:p>
    <w:p w14:paraId="1DCAAF78" w14:textId="77777777" w:rsidR="00F709C4" w:rsidRDefault="00F709C4" w:rsidP="00F709C4">
      <w:pPr>
        <w:numPr>
          <w:ilvl w:val="0"/>
          <w:numId w:val="19"/>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Prijavitelj/korisnik je dužan dodijeljenu potporu vratiti na način i u roku određenim u nalogu za povrat potpore, a u skladu s Uredbom Vijeća (EU) 2015/1589 od 13. srpnja 2015. o utvrđivanju detaljnih pravila primjene članka 108. Ugovora o funkcioniranju Europske unije</w:t>
      </w:r>
      <w:r>
        <w:rPr>
          <w:rFonts w:ascii="Arial" w:eastAsia="Arial" w:hAnsi="Arial" w:cs="Arial"/>
          <w:color w:val="000000"/>
          <w:vertAlign w:val="superscript"/>
        </w:rPr>
        <w:footnoteReference w:id="2"/>
      </w:r>
      <w:r>
        <w:rPr>
          <w:rFonts w:ascii="Arial" w:eastAsia="Arial" w:hAnsi="Arial" w:cs="Arial"/>
          <w:color w:val="000000"/>
        </w:rPr>
        <w:t>.</w:t>
      </w:r>
    </w:p>
    <w:p w14:paraId="03BA61FE"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p>
    <w:p w14:paraId="204E071F" w14:textId="77777777" w:rsidR="00F709C4" w:rsidRDefault="00F709C4" w:rsidP="00F709C4">
      <w:pPr>
        <w:pBdr>
          <w:top w:val="nil"/>
          <w:left w:val="nil"/>
          <w:bottom w:val="nil"/>
          <w:right w:val="nil"/>
          <w:between w:val="nil"/>
        </w:pBdr>
        <w:spacing w:after="0" w:line="240" w:lineRule="auto"/>
        <w:ind w:left="0" w:hanging="2"/>
        <w:jc w:val="center"/>
        <w:rPr>
          <w:rFonts w:ascii="Arial" w:eastAsia="Arial" w:hAnsi="Arial" w:cs="Arial"/>
          <w:color w:val="000000"/>
        </w:rPr>
      </w:pPr>
      <w:r>
        <w:rPr>
          <w:rFonts w:ascii="Arial" w:eastAsia="Arial" w:hAnsi="Arial" w:cs="Arial"/>
          <w:color w:val="000000"/>
        </w:rPr>
        <w:t>Članak 25.</w:t>
      </w:r>
    </w:p>
    <w:p w14:paraId="6C73EC6D" w14:textId="77777777" w:rsidR="00F709C4" w:rsidRPr="00F709C4" w:rsidRDefault="00F709C4" w:rsidP="00F709C4">
      <w:pPr>
        <w:numPr>
          <w:ilvl w:val="0"/>
          <w:numId w:val="2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Zapisi o dodijeljenim potporama po ovom Programu, TZGZ je u obvezi čuvati 10 (deset) fiskalnih godina od datuma kada je dodijeljena posljednja pojedinačna potpora odnosno do </w:t>
      </w:r>
      <w:r w:rsidRPr="00F709C4">
        <w:rPr>
          <w:rFonts w:ascii="Arial" w:eastAsia="Arial" w:hAnsi="Arial" w:cs="Arial"/>
          <w:color w:val="000000"/>
        </w:rPr>
        <w:t>kraja 2034. godine.</w:t>
      </w:r>
    </w:p>
    <w:p w14:paraId="71220D34" w14:textId="77777777" w:rsidR="00F709C4" w:rsidRDefault="00F709C4" w:rsidP="00F709C4">
      <w:pPr>
        <w:numPr>
          <w:ilvl w:val="0"/>
          <w:numId w:val="20"/>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TZGZ je dužan, na pisani zahtjev Europske komisije, u roku od 20 dana dostaviti sve informacije potrebn</w:t>
      </w:r>
      <w:r>
        <w:rPr>
          <w:rFonts w:ascii="Arial" w:eastAsia="Arial" w:hAnsi="Arial" w:cs="Arial"/>
        </w:rPr>
        <w:t>e</w:t>
      </w:r>
      <w:r>
        <w:rPr>
          <w:rFonts w:ascii="Arial" w:eastAsia="Arial" w:hAnsi="Arial" w:cs="Arial"/>
          <w:color w:val="000000"/>
        </w:rPr>
        <w:t xml:space="preserve"> kako bi se ocijenilo jesu li ispunjeni uvjeti iz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Uredbe, a posebno o ukupnom iznosu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 koje je bilo koji poduzetnik primio na temelju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Uredbe ili drugih uredbi o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potporama.</w:t>
      </w:r>
    </w:p>
    <w:p w14:paraId="2E1EAC32" w14:textId="77777777" w:rsidR="00F709C4" w:rsidRDefault="00F709C4" w:rsidP="00F709C4">
      <w:pPr>
        <w:pBdr>
          <w:top w:val="nil"/>
          <w:left w:val="nil"/>
          <w:bottom w:val="nil"/>
          <w:right w:val="nil"/>
          <w:between w:val="nil"/>
        </w:pBdr>
        <w:spacing w:after="0" w:line="240" w:lineRule="auto"/>
        <w:ind w:leftChars="0" w:left="0" w:firstLineChars="0" w:firstLine="0"/>
        <w:jc w:val="both"/>
        <w:rPr>
          <w:rFonts w:ascii="Arial" w:eastAsia="Arial" w:hAnsi="Arial" w:cs="Arial"/>
          <w:color w:val="000000"/>
        </w:rPr>
      </w:pPr>
    </w:p>
    <w:p w14:paraId="2161CC47" w14:textId="77777777" w:rsidR="00F709C4" w:rsidRDefault="00F709C4" w:rsidP="00F709C4">
      <w:pPr>
        <w:pBdr>
          <w:top w:val="nil"/>
          <w:left w:val="nil"/>
          <w:bottom w:val="nil"/>
          <w:right w:val="nil"/>
          <w:between w:val="nil"/>
        </w:pBdr>
        <w:spacing w:after="0" w:line="240" w:lineRule="auto"/>
        <w:ind w:leftChars="0" w:left="0" w:firstLineChars="0" w:firstLine="0"/>
        <w:jc w:val="both"/>
        <w:rPr>
          <w:rFonts w:ascii="Arial" w:eastAsia="Arial" w:hAnsi="Arial" w:cs="Arial"/>
          <w:color w:val="000000"/>
        </w:rPr>
      </w:pPr>
    </w:p>
    <w:p w14:paraId="07344BFE" w14:textId="77777777" w:rsidR="00F709C4" w:rsidRDefault="00F709C4" w:rsidP="00F709C4">
      <w:pPr>
        <w:pBdr>
          <w:top w:val="nil"/>
          <w:left w:val="nil"/>
          <w:bottom w:val="nil"/>
          <w:right w:val="nil"/>
          <w:between w:val="nil"/>
        </w:pBdr>
        <w:spacing w:after="0" w:line="240" w:lineRule="auto"/>
        <w:ind w:leftChars="0" w:left="0" w:firstLineChars="0" w:firstLine="0"/>
        <w:jc w:val="both"/>
        <w:rPr>
          <w:rFonts w:ascii="Arial" w:eastAsia="Arial" w:hAnsi="Arial" w:cs="Arial"/>
          <w:color w:val="000000"/>
        </w:rPr>
      </w:pPr>
    </w:p>
    <w:p w14:paraId="36420C55" w14:textId="3FE67571" w:rsidR="00F709C4" w:rsidRDefault="00F709C4" w:rsidP="00F709C4">
      <w:pPr>
        <w:pBdr>
          <w:top w:val="nil"/>
          <w:left w:val="nil"/>
          <w:bottom w:val="nil"/>
          <w:right w:val="nil"/>
          <w:between w:val="nil"/>
        </w:pBdr>
        <w:spacing w:after="0" w:line="240" w:lineRule="auto"/>
        <w:ind w:leftChars="0" w:left="0" w:firstLineChars="0" w:firstLine="0"/>
        <w:jc w:val="both"/>
        <w:rPr>
          <w:rFonts w:ascii="Arial" w:eastAsia="Arial" w:hAnsi="Arial" w:cs="Arial"/>
          <w:color w:val="000000"/>
        </w:rPr>
      </w:pPr>
      <w:r>
        <w:rPr>
          <w:rFonts w:ascii="Arial" w:eastAsia="Arial" w:hAnsi="Arial" w:cs="Arial"/>
          <w:color w:val="000000"/>
        </w:rPr>
        <w:t xml:space="preserve"> </w:t>
      </w:r>
    </w:p>
    <w:p w14:paraId="1EDFE0BD"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p>
    <w:p w14:paraId="0DBD6D8F" w14:textId="77777777" w:rsidR="00F709C4" w:rsidRDefault="00F709C4" w:rsidP="00F709C4">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lastRenderedPageBreak/>
        <w:t>Završne odredbe</w:t>
      </w:r>
    </w:p>
    <w:p w14:paraId="3720B196"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26.</w:t>
      </w:r>
    </w:p>
    <w:p w14:paraId="7C498887"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Na sva pitanja koja nisu uređena ovim Programom primjenjuju se odredbe Uredbe 1407/2013.</w:t>
      </w:r>
    </w:p>
    <w:p w14:paraId="2C07965C"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Detaljniji uvjeti i način dodjele potpore male vrijednosti utvrđuju se u Javnom pozivu za dostavu projektnih prijedloga odnosno u uputama za prijavitelje.</w:t>
      </w:r>
    </w:p>
    <w:p w14:paraId="3A200FE1" w14:textId="77777777" w:rsidR="00F709C4" w:rsidRDefault="00F709C4" w:rsidP="00F709C4">
      <w:pPr>
        <w:spacing w:after="0" w:line="240" w:lineRule="auto"/>
        <w:ind w:left="0" w:hanging="2"/>
        <w:jc w:val="center"/>
        <w:rPr>
          <w:rFonts w:ascii="Arial" w:eastAsia="Arial" w:hAnsi="Arial" w:cs="Arial"/>
        </w:rPr>
      </w:pPr>
    </w:p>
    <w:p w14:paraId="7B0DF703" w14:textId="77777777" w:rsidR="00F709C4" w:rsidRDefault="00F709C4" w:rsidP="00F709C4">
      <w:pPr>
        <w:spacing w:after="0" w:line="240" w:lineRule="auto"/>
        <w:ind w:left="0" w:hanging="2"/>
        <w:jc w:val="center"/>
        <w:rPr>
          <w:rFonts w:ascii="Arial" w:eastAsia="Arial" w:hAnsi="Arial" w:cs="Arial"/>
        </w:rPr>
      </w:pPr>
    </w:p>
    <w:p w14:paraId="61CA2AD8" w14:textId="77777777" w:rsidR="00F709C4" w:rsidRDefault="00F709C4" w:rsidP="00F709C4">
      <w:pPr>
        <w:spacing w:after="0" w:line="240" w:lineRule="auto"/>
        <w:ind w:left="0" w:hanging="2"/>
        <w:jc w:val="center"/>
        <w:rPr>
          <w:rFonts w:ascii="Arial" w:eastAsia="Arial" w:hAnsi="Arial" w:cs="Arial"/>
        </w:rPr>
      </w:pPr>
    </w:p>
    <w:p w14:paraId="23DA8AF2" w14:textId="77777777" w:rsidR="00F709C4" w:rsidRDefault="00F709C4" w:rsidP="00F709C4">
      <w:pPr>
        <w:spacing w:after="0" w:line="240" w:lineRule="auto"/>
        <w:ind w:left="0" w:hanging="2"/>
        <w:jc w:val="center"/>
        <w:rPr>
          <w:rFonts w:ascii="Arial" w:eastAsia="Arial" w:hAnsi="Arial" w:cs="Arial"/>
        </w:rPr>
      </w:pPr>
    </w:p>
    <w:p w14:paraId="12111DAA" w14:textId="77777777" w:rsidR="00F709C4" w:rsidRDefault="00F709C4" w:rsidP="00F709C4">
      <w:pPr>
        <w:spacing w:after="0" w:line="240" w:lineRule="auto"/>
        <w:ind w:left="0" w:hanging="2"/>
        <w:jc w:val="center"/>
        <w:rPr>
          <w:rFonts w:ascii="Arial" w:eastAsia="Arial" w:hAnsi="Arial" w:cs="Arial"/>
        </w:rPr>
      </w:pPr>
      <w:r>
        <w:rPr>
          <w:rFonts w:ascii="Arial" w:eastAsia="Arial" w:hAnsi="Arial" w:cs="Arial"/>
        </w:rPr>
        <w:t>Članak 27.</w:t>
      </w:r>
    </w:p>
    <w:p w14:paraId="35ABBBA1"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Program stupa na snagu danom donošenja.</w:t>
      </w:r>
    </w:p>
    <w:p w14:paraId="1849E429"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 xml:space="preserve">Program se objavljuje na mrežnim stranicama TZGZ-a, </w:t>
      </w:r>
      <w:hyperlink r:id="rId7">
        <w:r>
          <w:rPr>
            <w:rFonts w:ascii="Arial" w:eastAsia="Arial" w:hAnsi="Arial" w:cs="Arial"/>
            <w:color w:val="000000"/>
            <w:u w:val="single"/>
          </w:rPr>
          <w:t>www.tzgz.hr</w:t>
        </w:r>
      </w:hyperlink>
      <w:r>
        <w:rPr>
          <w:rFonts w:ascii="Arial" w:eastAsia="Arial" w:hAnsi="Arial" w:cs="Arial"/>
        </w:rPr>
        <w:t>, zajedno s objavom javnog poziva.</w:t>
      </w:r>
    </w:p>
    <w:p w14:paraId="65C2B61C" w14:textId="77777777" w:rsidR="00F709C4" w:rsidRDefault="00F709C4" w:rsidP="00F709C4">
      <w:pPr>
        <w:spacing w:after="0" w:line="240" w:lineRule="auto"/>
        <w:ind w:left="0" w:hanging="2"/>
        <w:jc w:val="both"/>
        <w:rPr>
          <w:rFonts w:ascii="Arial" w:eastAsia="Arial" w:hAnsi="Arial" w:cs="Arial"/>
          <w:color w:val="003764"/>
        </w:rPr>
      </w:pPr>
    </w:p>
    <w:p w14:paraId="79D1395E" w14:textId="77777777" w:rsidR="00F709C4" w:rsidRDefault="00F709C4" w:rsidP="00F709C4">
      <w:pPr>
        <w:spacing w:after="0" w:line="240" w:lineRule="auto"/>
        <w:ind w:left="0" w:hanging="2"/>
        <w:jc w:val="both"/>
        <w:rPr>
          <w:rFonts w:ascii="Arial" w:eastAsia="Arial" w:hAnsi="Arial" w:cs="Arial"/>
          <w:color w:val="003764"/>
        </w:rPr>
      </w:pPr>
    </w:p>
    <w:p w14:paraId="6A92CC3F"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r>
      <w:r>
        <w:rPr>
          <w:rFonts w:ascii="Arial" w:eastAsia="Arial" w:hAnsi="Arial" w:cs="Arial"/>
          <w:color w:val="003764"/>
        </w:rPr>
        <w:tab/>
        <w:t xml:space="preserve">         </w:t>
      </w:r>
      <w:r>
        <w:rPr>
          <w:rFonts w:ascii="Arial" w:eastAsia="Arial" w:hAnsi="Arial" w:cs="Arial"/>
        </w:rPr>
        <w:t xml:space="preserve">Tomislav Tomašević, </w:t>
      </w:r>
      <w:proofErr w:type="spellStart"/>
      <w:r>
        <w:rPr>
          <w:rFonts w:ascii="Arial" w:eastAsia="Arial" w:hAnsi="Arial" w:cs="Arial"/>
        </w:rPr>
        <w:t>mag.polit</w:t>
      </w:r>
      <w:proofErr w:type="spellEnd"/>
      <w:r>
        <w:rPr>
          <w:rFonts w:ascii="Arial" w:eastAsia="Arial" w:hAnsi="Arial" w:cs="Arial"/>
        </w:rPr>
        <w:t>.</w:t>
      </w:r>
    </w:p>
    <w:p w14:paraId="1CB28BE5" w14:textId="77777777" w:rsidR="00F709C4" w:rsidRDefault="00F709C4" w:rsidP="00F709C4">
      <w:pPr>
        <w:spacing w:after="0" w:line="240" w:lineRule="auto"/>
        <w:ind w:left="0" w:hanging="2"/>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predsjednik</w:t>
      </w:r>
    </w:p>
    <w:p w14:paraId="08AD7F1A" w14:textId="77777777" w:rsidR="00F709C4" w:rsidRDefault="00F709C4" w:rsidP="00F709C4">
      <w:pPr>
        <w:spacing w:after="0" w:line="240" w:lineRule="auto"/>
        <w:ind w:left="0" w:hanging="2"/>
        <w:jc w:val="both"/>
        <w:rPr>
          <w:rFonts w:ascii="Arial" w:eastAsia="Arial" w:hAnsi="Arial" w:cs="Arial"/>
        </w:rPr>
      </w:pPr>
    </w:p>
    <w:p w14:paraId="02F1B0B0" w14:textId="77777777" w:rsidR="00F709C4" w:rsidRDefault="00F709C4" w:rsidP="00F709C4">
      <w:pPr>
        <w:spacing w:after="0" w:line="240" w:lineRule="auto"/>
        <w:ind w:left="0" w:hanging="2"/>
        <w:jc w:val="both"/>
        <w:rPr>
          <w:rFonts w:ascii="Arial" w:eastAsia="Arial" w:hAnsi="Arial" w:cs="Arial"/>
          <w:color w:val="003764"/>
        </w:rPr>
      </w:pPr>
    </w:p>
    <w:p w14:paraId="0D13F1CF" w14:textId="77777777" w:rsidR="00F709C4" w:rsidRDefault="00F709C4" w:rsidP="00F709C4">
      <w:pPr>
        <w:spacing w:after="0" w:line="240" w:lineRule="auto"/>
        <w:ind w:left="0" w:hanging="2"/>
        <w:jc w:val="both"/>
        <w:rPr>
          <w:rFonts w:ascii="Arial" w:eastAsia="Arial" w:hAnsi="Arial" w:cs="Arial"/>
          <w:color w:val="003764"/>
        </w:rPr>
      </w:pPr>
    </w:p>
    <w:p w14:paraId="6C79E7BA" w14:textId="77777777" w:rsidR="00F709C4" w:rsidRDefault="00F709C4">
      <w:pPr>
        <w:ind w:left="0" w:hanging="2"/>
      </w:pPr>
    </w:p>
    <w:sectPr w:rsidR="00F70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DD29" w14:textId="77777777" w:rsidR="00581F90" w:rsidRDefault="00581F90" w:rsidP="00F709C4">
      <w:pPr>
        <w:spacing w:after="0" w:line="240" w:lineRule="auto"/>
        <w:ind w:left="0" w:hanging="2"/>
      </w:pPr>
      <w:r>
        <w:separator/>
      </w:r>
    </w:p>
  </w:endnote>
  <w:endnote w:type="continuationSeparator" w:id="0">
    <w:p w14:paraId="042B6879" w14:textId="77777777" w:rsidR="00581F90" w:rsidRDefault="00581F90" w:rsidP="00F709C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7E2E" w14:textId="77777777" w:rsidR="00581F90" w:rsidRDefault="00581F90" w:rsidP="00F709C4">
      <w:pPr>
        <w:spacing w:after="0" w:line="240" w:lineRule="auto"/>
        <w:ind w:left="0" w:hanging="2"/>
      </w:pPr>
      <w:r>
        <w:separator/>
      </w:r>
    </w:p>
  </w:footnote>
  <w:footnote w:type="continuationSeparator" w:id="0">
    <w:p w14:paraId="7290A262" w14:textId="77777777" w:rsidR="00581F90" w:rsidRDefault="00581F90" w:rsidP="00F709C4">
      <w:pPr>
        <w:spacing w:after="0" w:line="240" w:lineRule="auto"/>
        <w:ind w:left="0" w:hanging="2"/>
      </w:pPr>
      <w:r>
        <w:continuationSeparator/>
      </w:r>
    </w:p>
  </w:footnote>
  <w:footnote w:id="1">
    <w:p w14:paraId="51304993" w14:textId="77777777" w:rsidR="00F709C4" w:rsidRDefault="00F709C4" w:rsidP="00F709C4">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color w:val="000000"/>
          <w:sz w:val="18"/>
          <w:szCs w:val="18"/>
        </w:rPr>
        <w:t xml:space="preserve"> SL L 114, 26.04.2012., str. 8</w:t>
      </w:r>
    </w:p>
  </w:footnote>
  <w:footnote w:id="2">
    <w:p w14:paraId="44835FCA" w14:textId="77777777" w:rsidR="00F709C4" w:rsidRDefault="00F709C4" w:rsidP="00F709C4">
      <w:pPr>
        <w:pBdr>
          <w:top w:val="nil"/>
          <w:left w:val="nil"/>
          <w:bottom w:val="nil"/>
          <w:right w:val="nil"/>
          <w:between w:val="nil"/>
        </w:pBdr>
        <w:spacing w:after="0" w:line="240" w:lineRule="auto"/>
        <w:ind w:left="0" w:hanging="2"/>
        <w:rPr>
          <w:color w:val="000000"/>
          <w:sz w:val="20"/>
          <w:szCs w:val="20"/>
        </w:rPr>
      </w:pPr>
      <w:r>
        <w:rPr>
          <w:rStyle w:val="FootnoteReference"/>
        </w:rPr>
        <w:footnoteRef/>
      </w:r>
      <w:r>
        <w:rPr>
          <w:color w:val="000000"/>
          <w:sz w:val="18"/>
          <w:szCs w:val="18"/>
        </w:rPr>
        <w:t xml:space="preserve"> SL L 248/9, 24.9.2015.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2CA"/>
    <w:multiLevelType w:val="multilevel"/>
    <w:tmpl w:val="D4485D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C73AA"/>
    <w:multiLevelType w:val="multilevel"/>
    <w:tmpl w:val="33DC0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720BD7"/>
    <w:multiLevelType w:val="multilevel"/>
    <w:tmpl w:val="AD5AD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DE364F0"/>
    <w:multiLevelType w:val="multilevel"/>
    <w:tmpl w:val="1B7CEA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76B1669"/>
    <w:multiLevelType w:val="multilevel"/>
    <w:tmpl w:val="BCA22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7F07745"/>
    <w:multiLevelType w:val="multilevel"/>
    <w:tmpl w:val="E5C082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AEA2DD9"/>
    <w:multiLevelType w:val="multilevel"/>
    <w:tmpl w:val="31E6B0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1C828B8"/>
    <w:multiLevelType w:val="multilevel"/>
    <w:tmpl w:val="99387DE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FB7576"/>
    <w:multiLevelType w:val="multilevel"/>
    <w:tmpl w:val="FB9C58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72562C3"/>
    <w:multiLevelType w:val="multilevel"/>
    <w:tmpl w:val="43AC98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A2924BB"/>
    <w:multiLevelType w:val="multilevel"/>
    <w:tmpl w:val="C55A8C3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1" w15:restartNumberingAfterBreak="0">
    <w:nsid w:val="39B04715"/>
    <w:multiLevelType w:val="multilevel"/>
    <w:tmpl w:val="62CC8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AAD2DCD"/>
    <w:multiLevelType w:val="multilevel"/>
    <w:tmpl w:val="7C52B2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0B40B52"/>
    <w:multiLevelType w:val="multilevel"/>
    <w:tmpl w:val="D6F2BF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6E0285"/>
    <w:multiLevelType w:val="multilevel"/>
    <w:tmpl w:val="9AF8C91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B9078F0"/>
    <w:multiLevelType w:val="multilevel"/>
    <w:tmpl w:val="E65023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D0262BF"/>
    <w:multiLevelType w:val="multilevel"/>
    <w:tmpl w:val="F86E34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97618CF"/>
    <w:multiLevelType w:val="multilevel"/>
    <w:tmpl w:val="01323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C053B1E"/>
    <w:multiLevelType w:val="multilevel"/>
    <w:tmpl w:val="6B82B5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0454F87"/>
    <w:multiLevelType w:val="multilevel"/>
    <w:tmpl w:val="42B45F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F2D3519"/>
    <w:multiLevelType w:val="multilevel"/>
    <w:tmpl w:val="77CE7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0511948">
    <w:abstractNumId w:val="0"/>
  </w:num>
  <w:num w:numId="2" w16cid:durableId="1817188455">
    <w:abstractNumId w:val="19"/>
  </w:num>
  <w:num w:numId="3" w16cid:durableId="1453131200">
    <w:abstractNumId w:val="2"/>
  </w:num>
  <w:num w:numId="4" w16cid:durableId="1453523224">
    <w:abstractNumId w:val="15"/>
  </w:num>
  <w:num w:numId="5" w16cid:durableId="654796199">
    <w:abstractNumId w:val="12"/>
  </w:num>
  <w:num w:numId="6" w16cid:durableId="227502213">
    <w:abstractNumId w:val="8"/>
  </w:num>
  <w:num w:numId="7" w16cid:durableId="359864774">
    <w:abstractNumId w:val="20"/>
  </w:num>
  <w:num w:numId="8" w16cid:durableId="1680352766">
    <w:abstractNumId w:val="3"/>
  </w:num>
  <w:num w:numId="9" w16cid:durableId="1000738804">
    <w:abstractNumId w:val="6"/>
  </w:num>
  <w:num w:numId="10" w16cid:durableId="620965640">
    <w:abstractNumId w:val="13"/>
  </w:num>
  <w:num w:numId="11" w16cid:durableId="1979142958">
    <w:abstractNumId w:val="1"/>
  </w:num>
  <w:num w:numId="12" w16cid:durableId="1549612875">
    <w:abstractNumId w:val="17"/>
  </w:num>
  <w:num w:numId="13" w16cid:durableId="1786850605">
    <w:abstractNumId w:val="7"/>
  </w:num>
  <w:num w:numId="14" w16cid:durableId="1204903011">
    <w:abstractNumId w:val="10"/>
  </w:num>
  <w:num w:numId="15" w16cid:durableId="2102601055">
    <w:abstractNumId w:val="9"/>
  </w:num>
  <w:num w:numId="16" w16cid:durableId="1824471507">
    <w:abstractNumId w:val="16"/>
  </w:num>
  <w:num w:numId="17" w16cid:durableId="151533007">
    <w:abstractNumId w:val="18"/>
  </w:num>
  <w:num w:numId="18" w16cid:durableId="344065159">
    <w:abstractNumId w:val="14"/>
  </w:num>
  <w:num w:numId="19" w16cid:durableId="1533571933">
    <w:abstractNumId w:val="4"/>
  </w:num>
  <w:num w:numId="20" w16cid:durableId="308637239">
    <w:abstractNumId w:val="11"/>
  </w:num>
  <w:num w:numId="21" w16cid:durableId="2038657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C4"/>
    <w:rsid w:val="00581F90"/>
    <w:rsid w:val="00F709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709F"/>
  <w15:chartTrackingRefBased/>
  <w15:docId w15:val="{D5874239-E70C-45D1-90C6-401F744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C4"/>
    <w:pPr>
      <w:suppressAutoHyphens/>
      <w:spacing w:after="200" w:line="276" w:lineRule="auto"/>
      <w:ind w:leftChars="-1" w:left="-1" w:hangingChars="1" w:hanging="1"/>
      <w:textDirection w:val="btLr"/>
      <w:textAlignment w:val="top"/>
      <w:outlineLvl w:val="0"/>
    </w:pPr>
    <w:rPr>
      <w:rFonts w:ascii="Calibri" w:eastAsia="Calibri" w:hAnsi="Calibri" w:cs="Calibri"/>
      <w:kern w:val="0"/>
      <w:position w:val="-1"/>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F709C4"/>
    <w:rPr>
      <w:w w:val="100"/>
      <w:position w:val="-1"/>
      <w:effect w:val="none"/>
      <w:vertAlign w:val="superscript"/>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z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3216</Words>
  <Characters>18337</Characters>
  <Application>Microsoft Office Word</Application>
  <DocSecurity>0</DocSecurity>
  <Lines>152</Lines>
  <Paragraphs>43</Paragraphs>
  <ScaleCrop>false</ScaleCrop>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TZGZ 02</dc:creator>
  <cp:keywords/>
  <dc:description/>
  <cp:lastModifiedBy>TZGZ 02</cp:lastModifiedBy>
  <cp:revision>1</cp:revision>
  <dcterms:created xsi:type="dcterms:W3CDTF">2023-07-10T11:58:00Z</dcterms:created>
  <dcterms:modified xsi:type="dcterms:W3CDTF">2023-07-10T12:01:00Z</dcterms:modified>
</cp:coreProperties>
</file>